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Auditor</w:t>
      </w:r>
      <w:r>
        <w:t xml:space="preserve"> </w:t>
      </w:r>
      <w:r>
        <w:t xml:space="preserve">Services</w:t>
      </w:r>
      <w:r>
        <w:t xml:space="preserve"> </w:t>
      </w:r>
      <w:r>
        <w:t xml:space="preserve">-</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p>
    <w:bookmarkStart w:id="21" w:name="purchase-order"/>
    <w:p>
      <w:pPr>
        <w:pStyle w:val="Heading1"/>
      </w:pPr>
      <w:r>
        <w:t xml:space="preserve">PURCHASE ORDER</w:t>
      </w:r>
    </w:p>
    <w:bookmarkStart w:id="20" w:name="X6d9eee1734569667203d91ea6e151fc39eeb063"/>
    <w:p>
      <w:pPr>
        <w:pStyle w:val="Heading2"/>
      </w:pPr>
      <w:r>
        <w:t xml:space="preserve">Engagement of Professional Auditor Services</w:t>
      </w:r>
    </w:p>
    <w:p>
      <w:pPr>
        <w:pStyle w:val="FirstParagraph"/>
      </w:pPr>
      <w:r>
        <w:t xml:space="preserve">Issued in accordance with the commercial regulations of the United Arab Emirates Abu Dhabi</w:t>
      </w:r>
    </w:p>
    <w:bookmarkEnd w:id="20"/>
    <w:bookmarkEnd w:id="21"/>
    <w:p>
      <w:pPr>
        <w:pStyle w:val="BodyText"/>
      </w:pPr>
      <w:r>
        <w:rPr>
          <w:bCs/>
          <w:b/>
        </w:rPr>
        <w:t xml:space="preserve">Purchase Order No.:</w:t>
      </w:r>
      <w:r>
        <w:t xml:space="preserve"> </w:t>
      </w:r>
      <w:r>
        <w:t xml:space="preserve">PO/ADH/2025/04782</w:t>
      </w:r>
      <w:r>
        <w:br/>
      </w:r>
      <w:r>
        <w:rPr>
          <w:bCs/>
          <w:b/>
        </w:rPr>
        <w:t xml:space="preserve">Date of Issue:</w:t>
      </w:r>
      <w:r>
        <w:t xml:space="preserve"> </w:t>
      </w:r>
      <w:r>
        <w:t xml:space="preserve">15 June 2025</w:t>
      </w:r>
      <w:r>
        <w:br/>
      </w:r>
      <w:r>
        <w:rPr>
          <w:bCs/>
          <w:b/>
        </w:rPr>
        <w:t xml:space="preserve">Valid Until:</w:t>
      </w:r>
      <w:r>
        <w:t xml:space="preserve"> </w:t>
      </w:r>
      <w:r>
        <w:t xml:space="preserve">15 July 2025</w:t>
      </w:r>
    </w:p>
    <w:p>
      <w:pPr>
        <w:pStyle w:val="BodyText"/>
      </w:pPr>
      <w:r>
        <w:rPr>
          <w:bCs/>
          <w:b/>
        </w:rPr>
        <w:t xml:space="preserve">Payment Terms:</w:t>
      </w:r>
      <w:r>
        <w:t xml:space="preserve"> </w:t>
      </w:r>
      <w:r>
        <w:t xml:space="preserve">Net 30 Days</w:t>
      </w:r>
      <w:r>
        <w:br/>
      </w:r>
      <w:r>
        <w:rPr>
          <w:bCs/>
          <w:b/>
        </w:rPr>
        <w:t xml:space="preserve">Currency:</w:t>
      </w:r>
      <w:r>
        <w:t xml:space="preserve"> </w:t>
      </w:r>
      <w:r>
        <w:t xml:space="preserve">United Arab Emirates Dirham (AED)</w:t>
      </w:r>
      <w:r>
        <w:br/>
      </w:r>
      <w:r>
        <w:rPr>
          <w:bCs/>
          <w:b/>
        </w:rPr>
        <w:t xml:space="preserve">Incoterms:</w:t>
      </w:r>
      <w:r>
        <w:t xml:space="preserve"> </w:t>
      </w:r>
      <w:r>
        <w:t xml:space="preserve">N/A (Professional Services)</w:t>
      </w:r>
    </w:p>
    <w:bookmarkStart w:id="22" w:name="buyer-issuing-party"/>
    <w:p>
      <w:pPr>
        <w:pStyle w:val="Heading3"/>
      </w:pPr>
      <w:r>
        <w:t xml:space="preserve">BUYER (Issuing Party)</w:t>
      </w:r>
    </w:p>
    <w:p>
      <w:pPr>
        <w:pStyle w:val="FirstParagraph"/>
      </w:pPr>
      <w:r>
        <w:rPr>
          <w:bCs/>
          <w:b/>
        </w:rPr>
        <w:t xml:space="preserve">Company:</w:t>
      </w:r>
      <w:r>
        <w:t xml:space="preserve"> </w:t>
      </w:r>
      <w:r>
        <w:t xml:space="preserve">Al Noor Industrial Holdings LLC</w:t>
      </w:r>
    </w:p>
    <w:p>
      <w:pPr>
        <w:pStyle w:val="BodyText"/>
      </w:pPr>
      <w:r>
        <w:rPr>
          <w:bCs/>
          <w:b/>
        </w:rPr>
        <w:t xml:space="preserve">Address:</w:t>
      </w:r>
      <w:r>
        <w:t xml:space="preserve"> </w:t>
      </w:r>
      <w:r>
        <w:t xml:space="preserve">Office 1204, Level 12, Al Reem Island Tower, Corniche Street, United Arab Emirates Abu Dhabi</w:t>
      </w:r>
    </w:p>
    <w:p>
      <w:pPr>
        <w:pStyle w:val="BodyText"/>
      </w:pPr>
      <w:r>
        <w:rPr>
          <w:bCs/>
          <w:b/>
        </w:rPr>
        <w:t xml:space="preserve">Trade License No.:</w:t>
      </w:r>
      <w:r>
        <w:t xml:space="preserve"> </w:t>
      </w:r>
      <w:r>
        <w:t xml:space="preserve">AD-2019-44871</w:t>
      </w:r>
    </w:p>
    <w:p>
      <w:pPr>
        <w:pStyle w:val="BodyText"/>
      </w:pPr>
      <w:r>
        <w:rPr>
          <w:bCs/>
          <w:b/>
        </w:rPr>
        <w:t xml:space="preserve">VAT Registration No.:</w:t>
      </w:r>
      <w:r>
        <w:t xml:space="preserve"> </w:t>
      </w:r>
      <w:r>
        <w:t xml:space="preserve">100456789000003</w:t>
      </w:r>
    </w:p>
    <w:p>
      <w:pPr>
        <w:pStyle w:val="BodyText"/>
      </w:pPr>
      <w:r>
        <w:rPr>
          <w:bCs/>
          <w:b/>
        </w:rPr>
        <w:t xml:space="preserve">Contact:</w:t>
      </w:r>
      <w:r>
        <w:t xml:space="preserve"> </w:t>
      </w:r>
      <w:r>
        <w:t xml:space="preserve">Mr. Khalid Al Mansoori, Chief Financial Officer</w:t>
      </w:r>
    </w:p>
    <w:p>
      <w:pPr>
        <w:pStyle w:val="BodyText"/>
      </w:pPr>
      <w:r>
        <w:rPr>
          <w:bCs/>
          <w:b/>
        </w:rPr>
        <w:t xml:space="preserve">Email:</w:t>
      </w:r>
      <w:r>
        <w:t xml:space="preserve"> </w:t>
      </w:r>
      <w:r>
        <w:t xml:space="preserve">finance@alnoorholdings.ae</w:t>
      </w:r>
    </w:p>
    <w:p>
      <w:pPr>
        <w:pStyle w:val="BodyText"/>
      </w:pPr>
      <w:r>
        <w:rPr>
          <w:bCs/>
          <w:b/>
        </w:rPr>
        <w:t xml:space="preserve">Phone:</w:t>
      </w:r>
      <w:r>
        <w:t xml:space="preserve"> </w:t>
      </w:r>
      <w:r>
        <w:t xml:space="preserve">+971 2 445 6789</w:t>
      </w:r>
    </w:p>
    <w:bookmarkEnd w:id="22"/>
    <w:bookmarkStart w:id="23" w:name="supplier-service-provider"/>
    <w:p>
      <w:pPr>
        <w:pStyle w:val="Heading3"/>
      </w:pPr>
      <w:r>
        <w:t xml:space="preserve">SUPPLIER / SERVICE PROVIDER</w:t>
      </w:r>
    </w:p>
    <w:p>
      <w:pPr>
        <w:pStyle w:val="FirstParagraph"/>
      </w:pPr>
      <w:r>
        <w:rPr>
          <w:bCs/>
          <w:b/>
        </w:rPr>
        <w:t xml:space="preserve">Firm:</w:t>
      </w:r>
      <w:r>
        <w:t xml:space="preserve"> </w:t>
      </w:r>
      <w:r>
        <w:t xml:space="preserve">Gulf Crest Audit &amp; Assurance Partners LLC</w:t>
      </w:r>
    </w:p>
    <w:p>
      <w:pPr>
        <w:pStyle w:val="BodyText"/>
      </w:pPr>
      <w:r>
        <w:rPr>
          <w:bCs/>
          <w:b/>
        </w:rPr>
        <w:t xml:space="preserve">Address:</w:t>
      </w:r>
      <w:r>
        <w:t xml:space="preserve"> </w:t>
      </w:r>
      <w:r>
        <w:t xml:space="preserve">Suite 802, Emaar Corporate Towers, Al Maryah Island, United Arab Emirates Abu Dhabi</w:t>
      </w:r>
    </w:p>
    <w:p>
      <w:pPr>
        <w:pStyle w:val="BodyText"/>
      </w:pPr>
      <w:r>
        <w:rPr>
          <w:bCs/>
          <w:b/>
        </w:rPr>
        <w:t xml:space="preserve">Trade License No.:</w:t>
      </w:r>
      <w:r>
        <w:t xml:space="preserve"> </w:t>
      </w:r>
      <w:r>
        <w:t xml:space="preserve">AD-2015-22390</w:t>
      </w:r>
    </w:p>
    <w:p>
      <w:pPr>
        <w:pStyle w:val="BodyText"/>
      </w:pPr>
      <w:r>
        <w:rPr>
          <w:bCs/>
          <w:b/>
        </w:rPr>
        <w:t xml:space="preserve">VAT Registration No.:</w:t>
      </w:r>
      <w:r>
        <w:t xml:space="preserve"> </w:t>
      </w:r>
      <w:r>
        <w:t xml:space="preserve">100987654000003</w:t>
      </w:r>
    </w:p>
    <w:p>
      <w:pPr>
        <w:pStyle w:val="BodyText"/>
      </w:pPr>
      <w:r>
        <w:rPr>
          <w:bCs/>
          <w:b/>
        </w:rPr>
        <w:t xml:space="preserve">Designated Auditor:</w:t>
      </w:r>
      <w:r>
        <w:t xml:space="preserve"> </w:t>
      </w:r>
      <w:r>
        <w:t xml:space="preserve">Ms. Fatima Al Rashidi, CPA, CISA</w:t>
      </w:r>
    </w:p>
    <w:p>
      <w:pPr>
        <w:pStyle w:val="BodyText"/>
      </w:pPr>
      <w:r>
        <w:rPr>
          <w:bCs/>
          <w:b/>
        </w:rPr>
        <w:t xml:space="preserve">Email:</w:t>
      </w:r>
      <w:r>
        <w:t xml:space="preserve"> </w:t>
      </w:r>
      <w:r>
        <w:t xml:space="preserve">engagements@gulfcrestaudit.ae</w:t>
      </w:r>
    </w:p>
    <w:p>
      <w:pPr>
        <w:pStyle w:val="BodyText"/>
      </w:pPr>
      <w:r>
        <w:rPr>
          <w:bCs/>
          <w:b/>
        </w:rPr>
        <w:t xml:space="preserve">Phone:</w:t>
      </w:r>
      <w:r>
        <w:t xml:space="preserve"> </w:t>
      </w:r>
      <w:r>
        <w:t xml:space="preserve">+971 2 667 8901</w:t>
      </w:r>
    </w:p>
    <w:bookmarkEnd w:id="23"/>
    <w:p>
      <w:pPr>
        <w:pStyle w:val="BodyText"/>
      </w:pPr>
      <w:r>
        <w:t xml:space="preserve">1. DESCRIPTION OF SERVICES AND LINE ITEMS</w:t>
      </w:r>
    </w:p>
    <w:p>
      <w:pPr>
        <w:pStyle w:val="BodyText"/>
      </w:pPr>
      <w:r>
        <w:t xml:space="preserve">This</w:t>
      </w:r>
      <w:r>
        <w:t xml:space="preserve"> </w:t>
      </w:r>
      <w:r>
        <w:t xml:space="preserve">Purchase Order</w:t>
      </w:r>
      <w:r>
        <w:t xml:space="preserve"> </w:t>
      </w:r>
      <w:r>
        <w:t xml:space="preserve">is issued by Al Noor Industrial Holdings LLC to formally engage the services of a qualified</w:t>
      </w:r>
      <w:r>
        <w:t xml:space="preserve"> </w:t>
      </w:r>
      <w:r>
        <w:t xml:space="preserve">Auditor</w:t>
      </w:r>
      <w:r>
        <w:t xml:space="preserve"> </w:t>
      </w:r>
      <w:r>
        <w:t xml:space="preserve">for the fiscal year ending 31 December 2025. The</w:t>
      </w:r>
      <w:r>
        <w:t xml:space="preserve"> </w:t>
      </w:r>
      <w:r>
        <w:t xml:space="preserve">Auditor</w:t>
      </w:r>
      <w:r>
        <w:t xml:space="preserve"> </w:t>
      </w:r>
      <w:r>
        <w:t xml:space="preserve">shall perform a comprehensive statutory and operational audit in full compliance with the auditing standards prescribed by the Abu Dhabi Department of Economic Development and the International Standards on Auditing (ISA) as adopted in the</w:t>
      </w:r>
      <w:r>
        <w:t xml:space="preserve"> </w:t>
      </w:r>
      <w:r>
        <w:t xml:space="preserve">United Arab Emirates Abu Dhabi</w:t>
      </w:r>
      <w:r>
        <w:t xml:space="preserve"> </w:t>
      </w:r>
      <w:r>
        <w:t xml:space="preserve">jurisdiction.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Ref.</w:t>
            </w:r>
          </w:p>
        </w:tc>
        <w:tc>
          <w:tcPr/>
          <w:p>
            <w:pPr>
              <w:pStyle w:val="Compact"/>
              <w:jc w:val="left"/>
            </w:pPr>
            <w:r>
              <w:t xml:space="preserve">Description of Service</w:t>
            </w:r>
          </w:p>
        </w:tc>
        <w:tc>
          <w:tcPr/>
          <w:p>
            <w:pPr>
              <w:pStyle w:val="Compact"/>
              <w:jc w:val="left"/>
            </w:pPr>
            <w:r>
              <w:t xml:space="preserve">Quantity</w:t>
            </w:r>
          </w:p>
        </w:tc>
        <w:tc>
          <w:tcPr/>
          <w:p>
            <w:pPr>
              <w:pStyle w:val="Compact"/>
              <w:jc w:val="left"/>
            </w:pPr>
            <w:r>
              <w:t xml:space="preserve">Unit Rate (AED)</w:t>
            </w:r>
          </w:p>
        </w:tc>
        <w:tc>
          <w:tcPr/>
          <w:p>
            <w:pPr>
              <w:pStyle w:val="Compact"/>
              <w:jc w:val="left"/>
            </w:pPr>
            <w:r>
              <w:t xml:space="preserve">Total Amount (AED)</w:t>
            </w:r>
          </w:p>
        </w:tc>
      </w:tr>
      <w:tr>
        <w:tc>
          <w:tcPr/>
          <w:p>
            <w:pPr>
              <w:pStyle w:val="Compact"/>
              <w:jc w:val="left"/>
            </w:pPr>
            <w:r>
              <w:t xml:space="preserve">01</w:t>
            </w:r>
          </w:p>
        </w:tc>
        <w:tc>
          <w:tcPr/>
          <w:p>
            <w:pPr>
              <w:pStyle w:val="Compact"/>
              <w:jc w:val="left"/>
            </w:pPr>
            <w:r>
              <w:t xml:space="preserve">Statutory Financial Audit of Annual Accounts (FY 2025) conducted by a licensed Auditor registered with the Abu Dhabi Department of Economic Development</w:t>
            </w:r>
          </w:p>
        </w:tc>
        <w:tc>
          <w:tcPr/>
          <w:p>
            <w:pPr>
              <w:pStyle w:val="Compact"/>
              <w:jc w:val="left"/>
            </w:pPr>
            <w:r>
              <w:t xml:space="preserve">1 Engagement</w:t>
            </w:r>
          </w:p>
        </w:tc>
        <w:tc>
          <w:tcPr/>
          <w:p>
            <w:pPr>
              <w:pStyle w:val="Compact"/>
              <w:jc w:val="left"/>
            </w:pPr>
            <w:r>
              <w:t xml:space="preserve">185,000.00</w:t>
            </w:r>
          </w:p>
        </w:tc>
        <w:tc>
          <w:tcPr/>
          <w:p>
            <w:pPr>
              <w:pStyle w:val="Compact"/>
              <w:jc w:val="left"/>
            </w:pPr>
            <w:r>
              <w:t xml:space="preserve">185,000.00</w:t>
            </w:r>
          </w:p>
        </w:tc>
      </w:tr>
      <w:tr>
        <w:tc>
          <w:tcPr/>
          <w:p>
            <w:pPr>
              <w:pStyle w:val="Compact"/>
              <w:jc w:val="left"/>
            </w:pPr>
            <w:r>
              <w:t xml:space="preserve">02</w:t>
            </w:r>
          </w:p>
        </w:tc>
        <w:tc>
          <w:tcPr/>
          <w:p>
            <w:pPr>
              <w:pStyle w:val="Compact"/>
              <w:jc w:val="left"/>
            </w:pPr>
            <w:r>
              <w:t xml:space="preserve">Internal Controls Review and Operational Audit of Procurement and Supply Chain Divisions</w:t>
            </w:r>
          </w:p>
        </w:tc>
        <w:tc>
          <w:tcPr/>
          <w:p>
            <w:pPr>
              <w:pStyle w:val="Compact"/>
              <w:jc w:val="left"/>
            </w:pPr>
            <w:r>
              <w:t xml:space="preserve">1 Engagement</w:t>
            </w:r>
          </w:p>
        </w:tc>
        <w:tc>
          <w:tcPr/>
          <w:p>
            <w:pPr>
              <w:pStyle w:val="Compact"/>
              <w:jc w:val="left"/>
            </w:pPr>
            <w:r>
              <w:t xml:space="preserve">92,500.00</w:t>
            </w:r>
          </w:p>
        </w:tc>
        <w:tc>
          <w:tcPr/>
          <w:p>
            <w:pPr>
              <w:pStyle w:val="Compact"/>
              <w:jc w:val="left"/>
            </w:pPr>
            <w:r>
              <w:t xml:space="preserve">92,500.00</w:t>
            </w:r>
          </w:p>
        </w:tc>
      </w:tr>
      <w:tr>
        <w:tc>
          <w:tcPr/>
          <w:p>
            <w:pPr>
              <w:pStyle w:val="Compact"/>
              <w:jc w:val="left"/>
            </w:pPr>
            <w:r>
              <w:t xml:space="preserve">03</w:t>
            </w:r>
          </w:p>
        </w:tc>
        <w:tc>
          <w:tcPr/>
          <w:p>
            <w:pPr>
              <w:pStyle w:val="Compact"/>
              <w:jc w:val="left"/>
            </w:pPr>
            <w:r>
              <w:t xml:space="preserve">Compliance Audit for UAE Federal Tax Authority (FTA) VAT and Corporate Tax Obligations</w:t>
            </w:r>
          </w:p>
        </w:tc>
        <w:tc>
          <w:tcPr/>
          <w:p>
            <w:pPr>
              <w:pStyle w:val="Compact"/>
              <w:jc w:val="left"/>
            </w:pPr>
            <w:r>
              <w:t xml:space="preserve">1 Engagement</w:t>
            </w:r>
          </w:p>
        </w:tc>
        <w:tc>
          <w:tcPr/>
          <w:p>
            <w:pPr>
              <w:pStyle w:val="Compact"/>
              <w:jc w:val="left"/>
            </w:pPr>
            <w:r>
              <w:t xml:space="preserve">48,000.00</w:t>
            </w:r>
          </w:p>
        </w:tc>
        <w:tc>
          <w:tcPr/>
          <w:p>
            <w:pPr>
              <w:pStyle w:val="Compact"/>
              <w:jc w:val="left"/>
            </w:pPr>
            <w:r>
              <w:t xml:space="preserve">48,000.00</w:t>
            </w:r>
          </w:p>
        </w:tc>
      </w:tr>
      <w:tr>
        <w:tc>
          <w:tcPr/>
          <w:p>
            <w:pPr>
              <w:pStyle w:val="Compact"/>
              <w:jc w:val="left"/>
            </w:pPr>
            <w:r>
              <w:t xml:space="preserve">04</w:t>
            </w:r>
          </w:p>
        </w:tc>
        <w:tc>
          <w:tcPr/>
          <w:p>
            <w:pPr>
              <w:pStyle w:val="Compact"/>
              <w:jc w:val="left"/>
            </w:pPr>
            <w:r>
              <w:t xml:space="preserve">Forensic Audit and Anti-Money Laundering (AML) Due Diligence Report</w:t>
            </w:r>
          </w:p>
        </w:tc>
        <w:tc>
          <w:tcPr/>
          <w:p>
            <w:pPr>
              <w:pStyle w:val="Compact"/>
              <w:jc w:val="left"/>
            </w:pPr>
            <w:r>
              <w:t xml:space="preserve">1 Engagement</w:t>
            </w:r>
          </w:p>
        </w:tc>
        <w:tc>
          <w:tcPr/>
          <w:p>
            <w:pPr>
              <w:pStyle w:val="Compact"/>
              <w:jc w:val="left"/>
            </w:pPr>
            <w:r>
              <w:t xml:space="preserve">67,500.00</w:t>
            </w:r>
          </w:p>
        </w:tc>
        <w:tc>
          <w:tcPr/>
          <w:p>
            <w:pPr>
              <w:pStyle w:val="Compact"/>
              <w:jc w:val="left"/>
            </w:pPr>
            <w:r>
              <w:t xml:space="preserve">67,500.00</w:t>
            </w:r>
          </w:p>
        </w:tc>
      </w:tr>
      <w:tr>
        <w:tc>
          <w:tcPr/>
          <w:p>
            <w:pPr>
              <w:pStyle w:val="Compact"/>
              <w:jc w:val="left"/>
            </w:pPr>
            <w:r>
              <w:t xml:space="preserve">05</w:t>
            </w:r>
          </w:p>
        </w:tc>
        <w:tc>
          <w:tcPr/>
          <w:p>
            <w:pPr>
              <w:pStyle w:val="Compact"/>
              <w:jc w:val="left"/>
            </w:pPr>
            <w:r>
              <w:t xml:space="preserve">Management Letter and Post-Audit Advisory Consultation (up to 40 hours)</w:t>
            </w:r>
          </w:p>
        </w:tc>
        <w:tc>
          <w:tcPr/>
          <w:p>
            <w:pPr>
              <w:pStyle w:val="Compact"/>
              <w:jc w:val="left"/>
            </w:pPr>
            <w:r>
              <w:t xml:space="preserve">40 Hours</w:t>
            </w:r>
          </w:p>
        </w:tc>
        <w:tc>
          <w:tcPr/>
          <w:p>
            <w:pPr>
              <w:pStyle w:val="Compact"/>
              <w:jc w:val="left"/>
            </w:pPr>
            <w:r>
              <w:t xml:space="preserve">1,200.00</w:t>
            </w:r>
          </w:p>
        </w:tc>
        <w:tc>
          <w:tcPr/>
          <w:p>
            <w:pPr>
              <w:pStyle w:val="Compact"/>
              <w:jc w:val="left"/>
            </w:pPr>
            <w:r>
              <w:t xml:space="preserve">48,000.00</w:t>
            </w:r>
          </w:p>
        </w:tc>
      </w:tr>
      <w:tr>
        <w:tc>
          <w:tcPr>
            <w:gridSpan w:val="4"/>
          </w:tcPr>
          <w:p>
            <w:pPr>
              <w:pStyle w:val="Compact"/>
              <w:jc w:val="right"/>
            </w:pPr>
            <w:r>
              <w:t xml:space="preserve">Subtotal (AED)</w:t>
            </w:r>
          </w:p>
        </w:tc>
        <w:tc>
          <w:tcPr/>
          <w:p>
            <w:pPr>
              <w:pStyle w:val="Compact"/>
              <w:jc w:val="left"/>
            </w:pPr>
            <w:r>
              <w:t xml:space="preserve">441,000.00</w:t>
            </w:r>
          </w:p>
        </w:tc>
      </w:tr>
      <w:tr>
        <w:tc>
          <w:tcPr>
            <w:gridSpan w:val="4"/>
          </w:tcPr>
          <w:p>
            <w:pPr>
              <w:pStyle w:val="Compact"/>
              <w:jc w:val="right"/>
            </w:pPr>
            <w:r>
              <w:t xml:space="preserve">VAT @ 5% (United Arab Emirates Abu Dhabi)</w:t>
            </w:r>
          </w:p>
        </w:tc>
        <w:tc>
          <w:tcPr/>
          <w:p>
            <w:pPr>
              <w:pStyle w:val="Compact"/>
              <w:jc w:val="left"/>
            </w:pPr>
            <w:r>
              <w:t xml:space="preserve">22,050.00</w:t>
            </w:r>
          </w:p>
        </w:tc>
      </w:tr>
      <w:tr>
        <w:tc>
          <w:tcPr>
            <w:gridSpan w:val="4"/>
          </w:tcPr>
          <w:p>
            <w:pPr>
              <w:pStyle w:val="Compact"/>
              <w:jc w:val="right"/>
            </w:pPr>
            <w:r>
              <w:t xml:space="preserve">GRAND TOTAL (AED)</w:t>
            </w:r>
          </w:p>
        </w:tc>
        <w:tc>
          <w:tcPr/>
          <w:p>
            <w:pPr>
              <w:pStyle w:val="Compact"/>
              <w:jc w:val="left"/>
            </w:pPr>
            <w:r>
              <w:t xml:space="preserve">463,050.00</w:t>
            </w:r>
          </w:p>
        </w:tc>
      </w:tr>
    </w:tbl>
    <w:p>
      <w:pPr>
        <w:pStyle w:val="BodyText"/>
      </w:pPr>
      <w:r>
        <w:t xml:space="preserve">2. SCOPE AND OBLIGATIONS OF THE AUDITOR</w:t>
      </w:r>
    </w:p>
    <w:p>
      <w:pPr>
        <w:pStyle w:val="BodyText"/>
      </w:pPr>
      <w:r>
        <w:t xml:space="preserve">The</w:t>
      </w:r>
      <w:r>
        <w:t xml:space="preserve"> </w:t>
      </w:r>
      <w:r>
        <w:t xml:space="preserve">Auditor</w:t>
      </w:r>
      <w:r>
        <w:t xml:space="preserve"> </w:t>
      </w:r>
      <w:r>
        <w:t xml:space="preserve">engaged under this</w:t>
      </w:r>
      <w:r>
        <w:t xml:space="preserve"> </w:t>
      </w:r>
      <w:r>
        <w:t xml:space="preserve">Purchase Order</w:t>
      </w:r>
      <w:r>
        <w:t xml:space="preserve"> </w:t>
      </w:r>
      <w:r>
        <w:t xml:space="preserve">shall perform all audit procedures in strict adherence to the professional standards set forth by the Abu Dhabi Professional Accountants and Auditors Association. The</w:t>
      </w:r>
      <w:r>
        <w:t xml:space="preserve"> </w:t>
      </w:r>
      <w:r>
        <w:t xml:space="preserve">Auditor</w:t>
      </w:r>
      <w:r>
        <w:t xml:space="preserve"> </w:t>
      </w:r>
      <w:r>
        <w:t xml:space="preserve">is required to maintain full independence, objectivity, and professional skepticism throughout the engagement. All audit findings, working papers, and final reports shall be prepared in accordance with the regulatory framework governing the</w:t>
      </w:r>
      <w:r>
        <w:t xml:space="preserve"> </w:t>
      </w:r>
      <w:r>
        <w:t xml:space="preserve">United Arab Emirates Abu Dhabi</w:t>
      </w:r>
      <w:r>
        <w:t xml:space="preserve"> </w:t>
      </w:r>
      <w:r>
        <w:t xml:space="preserve">financial sector. The</w:t>
      </w:r>
      <w:r>
        <w:t xml:space="preserve"> </w:t>
      </w:r>
      <w:r>
        <w:t xml:space="preserve">Auditor</w:t>
      </w:r>
      <w:r>
        <w:t xml:space="preserve"> </w:t>
      </w:r>
      <w:r>
        <w:t xml:space="preserve">shall submit a preliminary draft report within twenty (20) business days of completing fieldwork and a final signed audit opinion within thirty (30) business days of the fiscal year-end.</w:t>
      </w:r>
    </w:p>
    <w:p>
      <w:pPr>
        <w:pStyle w:val="BodyText"/>
      </w:pPr>
      <w:r>
        <w:t xml:space="preserve">3. TERMS AND CONDITIONS</w:t>
      </w:r>
    </w:p>
    <w:p>
      <w:pPr>
        <w:numPr>
          <w:ilvl w:val="0"/>
          <w:numId w:val="1001"/>
        </w:numPr>
        <w:pStyle w:val="Compact"/>
      </w:pPr>
      <w:r>
        <w:rPr>
          <w:bCs/>
          <w:b/>
        </w:rPr>
        <w:t xml:space="preserve">Governing Law:</w:t>
      </w:r>
      <w:r>
        <w:t xml:space="preserve"> </w:t>
      </w:r>
      <w:r>
        <w:t xml:space="preserve">This</w:t>
      </w:r>
      <w:r>
        <w:t xml:space="preserve"> </w:t>
      </w:r>
      <w:r>
        <w:t xml:space="preserve">Purchase Order</w:t>
      </w:r>
      <w:r>
        <w:t xml:space="preserve"> </w:t>
      </w:r>
      <w:r>
        <w:t xml:space="preserve">shall be governed by and construed in accordance with the Federal Laws of the United Arab Emirates and the specific commercial regulations applicable in</w:t>
      </w:r>
      <w:r>
        <w:t xml:space="preserve"> </w:t>
      </w:r>
      <w:r>
        <w:t xml:space="preserve">United Arab Emirates Abu Dhabi</w:t>
      </w:r>
      <w:r>
        <w:t xml:space="preserve">. Any disputes arising hereunder shall be subject to the exclusive jurisdiction of the Abu Dhabi Courts.</w:t>
      </w:r>
    </w:p>
    <w:p>
      <w:pPr>
        <w:numPr>
          <w:ilvl w:val="0"/>
          <w:numId w:val="1001"/>
        </w:numPr>
        <w:pStyle w:val="Compact"/>
      </w:pPr>
      <w:r>
        <w:rPr>
          <w:bCs/>
          <w:b/>
        </w:rPr>
        <w:t xml:space="preserve">Confidentiality:</w:t>
      </w:r>
      <w:r>
        <w:t xml:space="preserve"> </w:t>
      </w:r>
      <w:r>
        <w:t xml:space="preserve">The</w:t>
      </w:r>
      <w:r>
        <w:t xml:space="preserve"> </w:t>
      </w:r>
      <w:r>
        <w:t xml:space="preserve">Auditor</w:t>
      </w:r>
      <w:r>
        <w:t xml:space="preserve"> </w:t>
      </w:r>
      <w:r>
        <w:t xml:space="preserve">shall treat all financial records, trade secrets, and proprietary information of the Buyer as strictly confidential. This obligation shall survive the termination of this</w:t>
      </w:r>
      <w:r>
        <w:t xml:space="preserve"> </w:t>
      </w:r>
      <w:r>
        <w:t xml:space="preserve">Purchase Order</w:t>
      </w:r>
      <w:r>
        <w:t xml:space="preserve"> </w:t>
      </w:r>
      <w:r>
        <w:t xml:space="preserve">for a period of five (5) years.</w:t>
      </w:r>
    </w:p>
    <w:p>
      <w:pPr>
        <w:numPr>
          <w:ilvl w:val="0"/>
          <w:numId w:val="1001"/>
        </w:numPr>
        <w:pStyle w:val="Compact"/>
      </w:pPr>
      <w:r>
        <w:rPr>
          <w:bCs/>
          <w:b/>
        </w:rPr>
        <w:t xml:space="preserve">Payment Schedule:</w:t>
      </w:r>
      <w:r>
        <w:t xml:space="preserve"> </w:t>
      </w:r>
      <w:r>
        <w:t xml:space="preserve">Payment of the total amount of AED 463,050.00 shall be made within thirty (30) days of receipt of the final audit report and a valid tax invoice issued by the</w:t>
      </w:r>
      <w:r>
        <w:t xml:space="preserve"> </w:t>
      </w:r>
      <w:r>
        <w:t xml:space="preserve">Auditor</w:t>
      </w:r>
      <w:r>
        <w:t xml:space="preserve">. Payment shall be made via bank transfer to the account designated by Gulf Crest Audit &amp; Assurance Partners LLC.</w:t>
      </w:r>
    </w:p>
    <w:p>
      <w:pPr>
        <w:numPr>
          <w:ilvl w:val="0"/>
          <w:numId w:val="1001"/>
        </w:numPr>
        <w:pStyle w:val="Compact"/>
      </w:pPr>
      <w:r>
        <w:rPr>
          <w:bCs/>
          <w:b/>
        </w:rPr>
        <w:t xml:space="preserve">Deliverables:</w:t>
      </w:r>
      <w:r>
        <w:t xml:space="preserve"> </w:t>
      </w:r>
      <w:r>
        <w:t xml:space="preserve">The</w:t>
      </w:r>
      <w:r>
        <w:t xml:space="preserve"> </w:t>
      </w:r>
      <w:r>
        <w:t xml:space="preserve">Auditor</w:t>
      </w:r>
      <w:r>
        <w:t xml:space="preserve"> </w:t>
      </w:r>
      <w:r>
        <w:t xml:space="preserve">shall deliver: (a) a signed statutory audit opinion; (b) an internal controls assessment report; (c) a VAT and Corporate Tax compliance certificate; (d) a forensic and AML due diligence report; and (e) a management letter with recommendations. All deliverables shall be submitted in both Arabic and English.</w:t>
      </w:r>
    </w:p>
    <w:p>
      <w:pPr>
        <w:numPr>
          <w:ilvl w:val="0"/>
          <w:numId w:val="1001"/>
        </w:numPr>
        <w:pStyle w:val="Compact"/>
      </w:pPr>
      <w:r>
        <w:rPr>
          <w:bCs/>
          <w:b/>
        </w:rPr>
        <w:t xml:space="preserve">Termination:</w:t>
      </w:r>
      <w:r>
        <w:t xml:space="preserve"> </w:t>
      </w:r>
      <w:r>
        <w:t xml:space="preserve">Either party may terminate this</w:t>
      </w:r>
      <w:r>
        <w:t xml:space="preserve"> </w:t>
      </w:r>
      <w:r>
        <w:t xml:space="preserve">Purchase Order</w:t>
      </w:r>
      <w:r>
        <w:t xml:space="preserve"> </w:t>
      </w:r>
      <w:r>
        <w:t xml:space="preserve">with thirty (30) days written notice. In the event of termination, the</w:t>
      </w:r>
      <w:r>
        <w:t xml:space="preserve"> </w:t>
      </w:r>
      <w:r>
        <w:t xml:space="preserve">Auditor</w:t>
      </w:r>
      <w:r>
        <w:t xml:space="preserve"> </w:t>
      </w:r>
      <w:r>
        <w:t xml:space="preserve">shall be compensated for all services rendered up to the date of termination, plus any non-cancellable third-party expenses.</w:t>
      </w:r>
    </w:p>
    <w:p>
      <w:pPr>
        <w:numPr>
          <w:ilvl w:val="0"/>
          <w:numId w:val="1001"/>
        </w:numPr>
        <w:pStyle w:val="Compact"/>
      </w:pPr>
      <w:r>
        <w:rPr>
          <w:bCs/>
          <w:b/>
        </w:rPr>
        <w:t xml:space="preserve">Insurance and Indemnity:</w:t>
      </w:r>
      <w:r>
        <w:t xml:space="preserve"> </w:t>
      </w:r>
      <w:r>
        <w:t xml:space="preserve">The</w:t>
      </w:r>
      <w:r>
        <w:t xml:space="preserve"> </w:t>
      </w:r>
      <w:r>
        <w:t xml:space="preserve">Auditor</w:t>
      </w:r>
      <w:r>
        <w:t xml:space="preserve"> </w:t>
      </w:r>
      <w:r>
        <w:t xml:space="preserve">shall maintain professional indemnity insurance with a minimum coverage of AED 5,000,000, valid throughout the term of this</w:t>
      </w:r>
      <w:r>
        <w:t xml:space="preserve"> </w:t>
      </w:r>
      <w:r>
        <w:t xml:space="preserve">Purchase Order</w:t>
      </w:r>
      <w:r>
        <w:t xml:space="preserve">, as required by the regulatory authorities in</w:t>
      </w:r>
      <w:r>
        <w:t xml:space="preserve"> </w:t>
      </w:r>
      <w:r>
        <w:t xml:space="preserve">United Arab Emirates Abu Dhabi</w:t>
      </w:r>
      <w:r>
        <w:t xml:space="preserve">.</w:t>
      </w:r>
    </w:p>
    <w:p>
      <w:pPr>
        <w:numPr>
          <w:ilvl w:val="0"/>
          <w:numId w:val="1001"/>
        </w:numPr>
        <w:pStyle w:val="Compact"/>
      </w:pPr>
      <w:r>
        <w:rPr>
          <w:bCs/>
          <w:b/>
        </w:rPr>
        <w:t xml:space="preserve">Force Majeure:</w:t>
      </w:r>
      <w:r>
        <w:t xml:space="preserve"> </w:t>
      </w:r>
      <w:r>
        <w:t xml:space="preserve">Neither party shall be liable for failure to perform obligations under this</w:t>
      </w:r>
      <w:r>
        <w:t xml:space="preserve"> </w:t>
      </w:r>
      <w:r>
        <w:t xml:space="preserve">Purchase Order</w:t>
      </w:r>
      <w:r>
        <w:t xml:space="preserve"> </w:t>
      </w:r>
      <w:r>
        <w:t xml:space="preserve">due to events beyond reasonable control, including but not limited to natural disasters, government sanctions, or public health emergencies declared in the</w:t>
      </w:r>
      <w:r>
        <w:t xml:space="preserve"> </w:t>
      </w:r>
      <w:r>
        <w:t xml:space="preserve">United Arab Emirates Abu Dhabi</w:t>
      </w:r>
      <w:r>
        <w:t xml:space="preserve">.</w:t>
      </w:r>
    </w:p>
    <w:p>
      <w:pPr>
        <w:numPr>
          <w:ilvl w:val="0"/>
          <w:numId w:val="1001"/>
        </w:numPr>
        <w:pStyle w:val="Compact"/>
      </w:pPr>
      <w:r>
        <w:rPr>
          <w:bCs/>
          <w:b/>
        </w:rPr>
        <w:t xml:space="preserve">Anti-Corruption:</w:t>
      </w:r>
      <w:r>
        <w:t xml:space="preserve"> </w:t>
      </w:r>
      <w:r>
        <w:t xml:space="preserve">Both parties confirm that no bribe, kickback, or improper inducement has been offered or accepted in connection with this</w:t>
      </w:r>
      <w:r>
        <w:t xml:space="preserve"> </w:t>
      </w:r>
      <w:r>
        <w:t xml:space="preserve">Purchase Order</w:t>
      </w:r>
      <w:r>
        <w:t xml:space="preserve">, in compliance with UAE Federal Decree-Law No. 3 of 2016 on Anti-Corruption.</w:t>
      </w:r>
    </w:p>
    <w:p>
      <w:pPr>
        <w:pStyle w:val="FirstParagraph"/>
      </w:pPr>
      <w:r>
        <w:t xml:space="preserve">4. AUTHORIZED SIGNATORIES</w:t>
      </w:r>
    </w:p>
    <w:p>
      <w:pPr>
        <w:pStyle w:val="BodyText"/>
      </w:pPr>
      <w:r>
        <w:rPr>
          <w:bCs/>
          <w:b/>
        </w:rPr>
        <w:t xml:space="preserve">For and on behalf of the Buyer:</w:t>
      </w:r>
      <w:r>
        <w:br/>
      </w:r>
      <w:r>
        <w:t xml:space="preserve">Al Noor Industrial Holdings LLC</w:t>
      </w:r>
    </w:p>
    <w:p>
      <w:pPr>
        <w:pStyle w:val="BodyText"/>
      </w:pPr>
      <w:r>
        <w:rPr>
          <w:bCs/>
          <w:b/>
        </w:rPr>
        <w:t xml:space="preserve">Mr. Khalid Al Mansoori</w:t>
      </w:r>
      <w:r>
        <w:br/>
      </w:r>
      <w:r>
        <w:t xml:space="preserve">Chief Financial Officer</w:t>
      </w:r>
      <w:r>
        <w:br/>
      </w:r>
      <w:r>
        <w:t xml:space="preserve">Date: _______________</w:t>
      </w:r>
    </w:p>
    <w:p>
      <w:pPr>
        <w:pStyle w:val="BodyText"/>
      </w:pPr>
      <w:r>
        <w:rPr>
          <w:bCs/>
          <w:b/>
        </w:rPr>
        <w:t xml:space="preserve">For and on behalf of the Auditor / Supplier:</w:t>
      </w:r>
      <w:r>
        <w:br/>
      </w:r>
      <w:r>
        <w:t xml:space="preserve">Gulf Crest Audit &amp; Assurance Partners LLC</w:t>
      </w:r>
    </w:p>
    <w:p>
      <w:pPr>
        <w:pStyle w:val="BodyText"/>
      </w:pPr>
      <w:r>
        <w:rPr>
          <w:bCs/>
          <w:b/>
        </w:rPr>
        <w:t xml:space="preserve">Ms. Fatima Al Rashidi, CPA, CISA</w:t>
      </w:r>
      <w:r>
        <w:br/>
      </w:r>
      <w:r>
        <w:t xml:space="preserve">Lead Auditor / Engagement Partner</w:t>
      </w:r>
      <w:r>
        <w:br/>
      </w:r>
      <w:r>
        <w:t xml:space="preserve">Date: _______________</w:t>
      </w:r>
    </w:p>
    <w:p>
      <w:pPr>
        <w:pStyle w:val="BodyText"/>
      </w:pPr>
      <w:r>
        <w:t xml:space="preserve">This</w:t>
      </w:r>
      <w:r>
        <w:t xml:space="preserve"> </w:t>
      </w:r>
      <w:r>
        <w:t xml:space="preserve">Purchase Order</w:t>
      </w:r>
      <w:r>
        <w:t xml:space="preserve"> </w:t>
      </w:r>
      <w:r>
        <w:t xml:space="preserve">(PO/ADH/2025/04782) constitutes a binding commercial agreement between the parties upon execution. It is issued in the</w:t>
      </w:r>
      <w:r>
        <w:t xml:space="preserve"> </w:t>
      </w:r>
      <w:r>
        <w:t xml:space="preserve">United Arab Emirates Abu Dhabi</w:t>
      </w:r>
      <w:r>
        <w:t xml:space="preserve"> </w:t>
      </w:r>
      <w:r>
        <w:t xml:space="preserve">and is subject to all applicable federal and emirate-level legislation. This document is valid for a period of thirty (30) days from the date of issue. Unauthorized reproduction or distribution of this</w:t>
      </w:r>
      <w:r>
        <w:t xml:space="preserve"> </w:t>
      </w:r>
      <w:r>
        <w:t xml:space="preserve">Purchase Order</w:t>
      </w:r>
      <w:r>
        <w:t xml:space="preserve"> </w:t>
      </w:r>
      <w:r>
        <w:t xml:space="preserve">is strictly prohibited.</w:t>
      </w:r>
    </w:p>
    <w:p>
      <w:pPr>
        <w:pStyle w:val="BodyText"/>
      </w:pPr>
      <w:r>
        <w:t xml:space="preserve">© 2025 Al Noor Industrial Holdings LLC — All Rights Reserved — United Arab Emirates Abu Dhabi</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Auditor Services - United Arab Emirates Abu Dhabi</dc:title>
  <dc:creator/>
  <dc:language>en</dc:language>
  <cp:keywords/>
  <dcterms:created xsi:type="dcterms:W3CDTF">2026-10-10T02:43:14Z</dcterms:created>
  <dcterms:modified xsi:type="dcterms:W3CDTF">2026-10-10T02:43:14Z</dcterms:modified>
</cp:coreProperties>
</file>

<file path=docProps/custom.xml><?xml version="1.0" encoding="utf-8"?>
<Properties xmlns="http://schemas.openxmlformats.org/officeDocument/2006/custom-properties" xmlns:vt="http://schemas.openxmlformats.org/officeDocument/2006/docPropsVTypes"/>
</file>