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Engagement of Auditor Services — United Arab Emirates, Dubai</w:t>
      </w:r>
    </w:p>
    <w:bookmarkEnd w:id="20"/>
    <w:p>
      <w:pPr>
        <w:pStyle w:val="BodyText"/>
      </w:pPr>
      <w:r>
        <w:rPr>
          <w:bCs/>
          <w:b/>
        </w:rPr>
        <w:t xml:space="preserve">Purchase Order No.:</w:t>
      </w:r>
      <w:r>
        <w:t xml:space="preserve"> </w:t>
      </w:r>
      <w:r>
        <w:t xml:space="preserve">PO-DXB-2025-04872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United Arab Emirates Dirham (AED)</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Al Noor Trading &amp; Logistics FZE</w:t>
      </w:r>
    </w:p>
    <w:p>
      <w:pPr>
        <w:pStyle w:val="BodyText"/>
      </w:pPr>
      <w:r>
        <w:rPr>
          <w:bCs/>
          <w:b/>
        </w:rPr>
        <w:t xml:space="preserve">Trade License No.:</w:t>
      </w:r>
      <w:r>
        <w:t xml:space="preserve"> </w:t>
      </w:r>
      <w:r>
        <w:t xml:space="preserve">10487235</w:t>
      </w:r>
    </w:p>
    <w:p>
      <w:pPr>
        <w:pStyle w:val="BodyText"/>
      </w:pPr>
      <w:r>
        <w:rPr>
          <w:bCs/>
          <w:b/>
        </w:rPr>
        <w:t xml:space="preserve">Address:</w:t>
      </w:r>
      <w:r>
        <w:t xml:space="preserve"> </w:t>
      </w:r>
      <w:r>
        <w:t xml:space="preserve">Office 1204, Level 12, Burj Khalifa, Downtown Dubai, United Arab Emirates</w:t>
      </w:r>
    </w:p>
    <w:p>
      <w:pPr>
        <w:pStyle w:val="BodyText"/>
      </w:pPr>
      <w:r>
        <w:rPr>
          <w:bCs/>
          <w:b/>
        </w:rPr>
        <w:t xml:space="preserve">TRN (Tax Registration No.):</w:t>
      </w:r>
      <w:r>
        <w:t xml:space="preserve"> </w:t>
      </w:r>
      <w:r>
        <w:t xml:space="preserve">100487235000003</w:t>
      </w:r>
    </w:p>
    <w:p>
      <w:pPr>
        <w:pStyle w:val="BodyText"/>
      </w:pPr>
      <w:r>
        <w:rPr>
          <w:bCs/>
          <w:b/>
        </w:rPr>
        <w:t xml:space="preserve">Contact Person:</w:t>
      </w:r>
      <w:r>
        <w:t xml:space="preserve"> </w:t>
      </w:r>
      <w:r>
        <w:t xml:space="preserve">Mr. Khalid Al Mansoori, Chief Financial Officer</w:t>
      </w:r>
    </w:p>
    <w:p>
      <w:pPr>
        <w:pStyle w:val="BodyText"/>
      </w:pPr>
      <w:r>
        <w:rPr>
          <w:bCs/>
          <w:b/>
        </w:rPr>
        <w:t xml:space="preserve">Email:</w:t>
      </w:r>
      <w:r>
        <w:t xml:space="preserve"> </w:t>
      </w:r>
      <w:r>
        <w:t xml:space="preserve">finance@alnoortrading.ae</w:t>
      </w:r>
    </w:p>
    <w:p>
      <w:pPr>
        <w:pStyle w:val="BodyText"/>
      </w:pPr>
      <w:r>
        <w:rPr>
          <w:bCs/>
          <w:b/>
        </w:rPr>
        <w:t xml:space="preserve">Phone:</w:t>
      </w:r>
      <w:r>
        <w:t xml:space="preserve"> </w:t>
      </w:r>
      <w:r>
        <w:t xml:space="preserve">+971 4 555 8821</w:t>
      </w:r>
    </w:p>
    <w:bookmarkEnd w:id="21"/>
    <w:bookmarkStart w:id="22" w:name="service-provider-auditor"/>
    <w:p>
      <w:pPr>
        <w:pStyle w:val="Heading3"/>
      </w:pPr>
      <w:r>
        <w:t xml:space="preserve">Service Provider (Auditor)</w:t>
      </w:r>
    </w:p>
    <w:p>
      <w:pPr>
        <w:pStyle w:val="FirstParagraph"/>
      </w:pPr>
      <w:r>
        <w:rPr>
          <w:bCs/>
          <w:b/>
        </w:rPr>
        <w:t xml:space="preserve">Firm Name:</w:t>
      </w:r>
      <w:r>
        <w:t xml:space="preserve"> </w:t>
      </w:r>
      <w:r>
        <w:t xml:space="preserve">Gulf Crest Audit &amp; Advisory LLC</w:t>
      </w:r>
    </w:p>
    <w:p>
      <w:pPr>
        <w:pStyle w:val="BodyText"/>
      </w:pPr>
      <w:r>
        <w:rPr>
          <w:bCs/>
          <w:b/>
        </w:rPr>
        <w:t xml:space="preserve">Professional License No.:</w:t>
      </w:r>
      <w:r>
        <w:t xml:space="preserve"> </w:t>
      </w:r>
      <w:r>
        <w:t xml:space="preserve">DED-PL-2019-00341</w:t>
      </w:r>
    </w:p>
    <w:p>
      <w:pPr>
        <w:pStyle w:val="BodyText"/>
      </w:pPr>
      <w:r>
        <w:rPr>
          <w:bCs/>
          <w:b/>
        </w:rPr>
        <w:t xml:space="preserve">Address:</w:t>
      </w:r>
      <w:r>
        <w:t xml:space="preserve"> </w:t>
      </w:r>
      <w:r>
        <w:t xml:space="preserve">Suite 502, Level 5, Dubai International Financial Centre (DIFC), Gate Village 7, Dubai, United Arab Emirates</w:t>
      </w:r>
    </w:p>
    <w:p>
      <w:pPr>
        <w:pStyle w:val="BodyText"/>
      </w:pPr>
      <w:r>
        <w:rPr>
          <w:bCs/>
          <w:b/>
        </w:rPr>
        <w:t xml:space="preserve">TRN (Tax Registration No.):</w:t>
      </w:r>
      <w:r>
        <w:t xml:space="preserve"> </w:t>
      </w:r>
      <w:r>
        <w:t xml:space="preserve">100923456000007</w:t>
      </w:r>
    </w:p>
    <w:p>
      <w:pPr>
        <w:pStyle w:val="BodyText"/>
      </w:pPr>
      <w:r>
        <w:rPr>
          <w:bCs/>
          <w:b/>
        </w:rPr>
        <w:t xml:space="preserve">Lead Auditor:</w:t>
      </w:r>
      <w:r>
        <w:t xml:space="preserve"> </w:t>
      </w:r>
      <w:r>
        <w:t xml:space="preserve">Ms. Fatima Al Rashidi, CPA, ACCA</w:t>
      </w:r>
    </w:p>
    <w:p>
      <w:pPr>
        <w:pStyle w:val="BodyText"/>
      </w:pPr>
      <w:r>
        <w:rPr>
          <w:bCs/>
          <w:b/>
        </w:rPr>
        <w:t xml:space="preserve">Email:</w:t>
      </w:r>
      <w:r>
        <w:t xml:space="preserve"> </w:t>
      </w:r>
      <w:r>
        <w:t xml:space="preserve">engagements@gulfcrest.ae</w:t>
      </w:r>
    </w:p>
    <w:p>
      <w:pPr>
        <w:pStyle w:val="BodyText"/>
      </w:pPr>
      <w:r>
        <w:rPr>
          <w:bCs/>
          <w:b/>
        </w:rPr>
        <w:t xml:space="preserve">Phone:</w:t>
      </w:r>
      <w:r>
        <w:t xml:space="preserve"> </w:t>
      </w:r>
      <w:r>
        <w:t xml:space="preserve">+971 4 330 7745</w:t>
      </w:r>
    </w:p>
    <w:bookmarkEnd w:id="22"/>
    <w:p>
      <w:pPr>
        <w:pStyle w:val="BodyText"/>
      </w:pPr>
      <w:r>
        <w:t xml:space="preserve">2. DESCRIPTION OF SERVICES — AUDITOR ENGAGEMENT</w:t>
      </w:r>
    </w:p>
    <w:p>
      <w:pPr>
        <w:pStyle w:val="BodyText"/>
      </w:pPr>
      <w:r>
        <w:t xml:space="preserve">This Purchase Order is issued by Al Noor Trading &amp; Logistics FZE (hereinafter referred to as the "Purchaser") to formally engage the services of Gulf Crest Audit &amp; Advisory LLC (hereinafter referred to as the "Auditor") for the provision of independent statutory audit and assurance services in accordance with the applicable laws and regulations of the United Arab Emirates, Dubai. The Auditor shall perform a full-scope financial audit of the Purchaser's books of accounts, financial statements, and internal control systems for the fiscal year ending 31 December 2025.</w:t>
      </w:r>
    </w:p>
    <w:p>
      <w:pPr>
        <w:pStyle w:val="BodyText"/>
      </w:pPr>
      <w:r>
        <w:t xml:space="preserve">3. SCOPE OF AUDITOR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Statutory Financial Audit of Annual Accounts (FY 2025) in compliance with UAE IFRS and Dubai Financial Services Authority (DFSA) guidelines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Internal Controls Assessment and Risk Advisory Review</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Tax Compliance Audit — Corporate Tax (CT) and Value Added Tax (VAT) under UAE Federal Tax Authority regulations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Interim Review of Q1 and Q2 Financial Statements (2025)</w:t>
            </w:r>
          </w:p>
        </w:tc>
        <w:tc>
          <w:tcPr/>
          <w:p>
            <w:pPr>
              <w:pStyle w:val="Compact"/>
              <w:jc w:val="left"/>
            </w:pPr>
            <w:r>
              <w:t xml:space="preserve">2</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Management Letter and Remediation Follow-Up (post-audit)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On-site Audit Fieldwork at Dubai Office (estimated 12 working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38,400.00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(AED)</w:t>
            </w:r>
          </w:p>
        </w:tc>
      </w:tr>
      <w:tr>
        <w:tc>
          <w:tcPr/>
          <w:p>
            <w:pPr>
              <w:pStyle w:val="Compact"/>
              <w:jc w:val="left"/>
            </w:pPr>
            <w:r>
              <w:t xml:space="preserve">Subtotal (Items 01 – 06)</w:t>
            </w:r>
          </w:p>
        </w:tc>
        <w:tc>
          <w:tcPr/>
          <w:p>
            <w:pPr>
              <w:pStyle w:val="Compact"/>
              <w:jc w:val="left"/>
            </w:pPr>
            <w:r>
              <w:t xml:space="preserve">216,400.00</w:t>
            </w:r>
          </w:p>
        </w:tc>
      </w:tr>
      <w:tr>
        <w:tc>
          <w:tcPr/>
          <w:p>
            <w:pPr>
              <w:pStyle w:val="Compact"/>
              <w:jc w:val="left"/>
            </w:pPr>
            <w:r>
              <w:t xml:space="preserve">VAT @ 5% (UAE Standard Rate)</w:t>
            </w:r>
          </w:p>
        </w:tc>
        <w:tc>
          <w:tcPr/>
          <w:p>
            <w:pPr>
              <w:pStyle w:val="Compact"/>
              <w:jc w:val="left"/>
            </w:pPr>
            <w:r>
              <w:t xml:space="preserve">10,820.00</w:t>
            </w:r>
          </w:p>
        </w:tc>
      </w:tr>
      <w:tr>
        <w:tc>
          <w:tcPr/>
          <w:p>
            <w:pPr>
              <w:pStyle w:val="Compact"/>
              <w:jc w:val="left"/>
            </w:pPr>
            <w:r>
              <w:rPr>
                <w:bCs/>
                <w:b/>
              </w:rPr>
              <w:t xml:space="preserve">Purchase Order Grand Total</w:t>
            </w:r>
          </w:p>
        </w:tc>
        <w:tc>
          <w:tcPr/>
          <w:p>
            <w:pPr>
              <w:pStyle w:val="Compact"/>
              <w:jc w:val="left"/>
            </w:pPr>
            <w:r>
              <w:rPr>
                <w:bCs/>
                <w:b/>
              </w:rPr>
              <w:t xml:space="preserve">227,220.00</w:t>
            </w:r>
          </w:p>
        </w:tc>
      </w:tr>
    </w:tbl>
    <w:p>
      <w:pPr>
        <w:pStyle w:val="BodyText"/>
      </w:pPr>
      <w:r>
        <w:t xml:space="preserve">5. TERMS AND CONDITIONS OF THIS PURCHASE ORDER</w:t>
      </w:r>
    </w:p>
    <w:p>
      <w:pPr>
        <w:numPr>
          <w:ilvl w:val="0"/>
          <w:numId w:val="1001"/>
        </w:numPr>
        <w:pStyle w:val="Compact"/>
      </w:pPr>
      <w:r>
        <w:rPr>
          <w:bCs/>
          <w:b/>
        </w:rPr>
        <w:t xml:space="preserve">Governing Law:</w:t>
      </w:r>
      <w:r>
        <w:t xml:space="preserve"> </w:t>
      </w:r>
      <w:r>
        <w:t xml:space="preserve">This Purchase Order and the Auditor engagement shall be governed by and construed in accordance with the laws of the United Arab Emirates, Dubai, and the applicable regulations of the Dubai Department of Economy and Tourism (DET) and the Dubai Financial Services Authority (DFSA) where applicable.</w:t>
      </w:r>
    </w:p>
    <w:p>
      <w:pPr>
        <w:numPr>
          <w:ilvl w:val="0"/>
          <w:numId w:val="1001"/>
        </w:numPr>
        <w:pStyle w:val="Compact"/>
      </w:pPr>
      <w:r>
        <w:rPr>
          <w:bCs/>
          <w:b/>
        </w:rPr>
        <w:t xml:space="preserve">Professional Standards:</w:t>
      </w:r>
      <w:r>
        <w:t xml:space="preserve"> </w:t>
      </w:r>
      <w:r>
        <w:t xml:space="preserve">The Auditor shall conduct all audit procedures in strict compliance with International Standards on Auditing (ISA), UAE Generally Accepted Accounting Principles, and the professional code of ethics as prescribed by the UAE Ministry of Finance and the Dubai Audit and Attestation Bureau.</w:t>
      </w:r>
    </w:p>
    <w:p>
      <w:pPr>
        <w:numPr>
          <w:ilvl w:val="0"/>
          <w:numId w:val="1001"/>
        </w:numPr>
        <w:pStyle w:val="Compact"/>
      </w:pPr>
      <w:r>
        <w:rPr>
          <w:bCs/>
          <w:b/>
        </w:rPr>
        <w:t xml:space="preserve">Independence and Objectivity:</w:t>
      </w:r>
      <w:r>
        <w:t xml:space="preserve"> </w:t>
      </w:r>
      <w:r>
        <w:t xml:space="preserve">The Auditor warrants that it and its engagement team shall maintain full independence and objectivity throughout the term of this Purchase Order. Any conflict of interest must be disclosed in writing to the Purchaser prior to commencing fieldwork.</w:t>
      </w:r>
    </w:p>
    <w:p>
      <w:pPr>
        <w:numPr>
          <w:ilvl w:val="0"/>
          <w:numId w:val="1001"/>
        </w:numPr>
        <w:pStyle w:val="Compact"/>
      </w:pPr>
      <w:r>
        <w:rPr>
          <w:bCs/>
          <w:b/>
        </w:rPr>
        <w:t xml:space="preserve">Confidentiality:</w:t>
      </w:r>
      <w:r>
        <w:t xml:space="preserve"> </w:t>
      </w:r>
      <w:r>
        <w:t xml:space="preserve">All financial records, trade secrets, and proprietary information of the Purchaser accessed by the Auditor during the course of this engagement shall be treated as strictly confidential. The Auditor shall not disclose such information to any third party without prior written consent, except as required by UAE law or regulatory authority in Dubai.</w:t>
      </w:r>
    </w:p>
    <w:p>
      <w:pPr>
        <w:numPr>
          <w:ilvl w:val="0"/>
          <w:numId w:val="1001"/>
        </w:numPr>
        <w:pStyle w:val="Compact"/>
      </w:pPr>
      <w:r>
        <w:rPr>
          <w:bCs/>
          <w:b/>
        </w:rPr>
        <w:t xml:space="preserve">Delivery of Audit Report:</w:t>
      </w:r>
      <w:r>
        <w:t xml:space="preserve"> </w:t>
      </w:r>
      <w:r>
        <w:t xml:space="preserve">The Auditor shall deliver the final signed audit report, management letter, and all supporting working papers to the Purchaser no later than 30 March 2026, in accordance with the statutory filing deadlines set by the UAE Federal Tax Authority and the Dubai Companies Registration Authority.</w:t>
      </w:r>
    </w:p>
    <w:p>
      <w:pPr>
        <w:numPr>
          <w:ilvl w:val="0"/>
          <w:numId w:val="1001"/>
        </w:numPr>
        <w:pStyle w:val="Compact"/>
      </w:pPr>
      <w:r>
        <w:rPr>
          <w:bCs/>
          <w:b/>
        </w:rPr>
        <w:t xml:space="preserve">Payment Terms:</w:t>
      </w:r>
      <w:r>
        <w:t xml:space="preserve"> </w:t>
      </w:r>
      <w:r>
        <w:t xml:space="preserve">Payment shall be made in three (3) installments: 40% upon execution of this Purchase Order, 40% upon completion of on-site fieldwork, and 20% upon delivery and acceptance of the final audit report. All payments shall be made via bank transfer to the Auditor's designated account in Dubai, United Arab Emirates.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regulatory changes enacted by the UAE or Dubai authorities.</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amicable negotiation. Failing resolution within thirty (30) days, the dispute shall be referred to arbitration in Dubai under the rules of the Dubai International Arbitration Centre (DIAC).</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the Auditor for all services rendered up to the date of termination, and the Auditor shall deliver all completed work product.</w:t>
      </w:r>
    </w:p>
    <w:p>
      <w:pPr>
        <w:numPr>
          <w:ilvl w:val="0"/>
          <w:numId w:val="1001"/>
        </w:numPr>
        <w:pStyle w:val="Compact"/>
      </w:pPr>
      <w:r>
        <w:rPr>
          <w:bCs/>
          <w:b/>
        </w:rPr>
        <w:t xml:space="preserve">Compliance with UAE Regulations:</w:t>
      </w:r>
      <w:r>
        <w:t xml:space="preserve"> </w:t>
      </w:r>
      <w:r>
        <w:t xml:space="preserve">The Auditor confirms that it holds a valid professional license to practice audit and attestation services in Dubai, United Arab Emirates, and that all engagement team members are duly qualified and registered with the relevant UAE professional bodies.</w:t>
      </w:r>
    </w:p>
    <w:p>
      <w:pPr>
        <w:pStyle w:val="FirstParagraph"/>
      </w:pPr>
      <w:r>
        <w:t xml:space="preserve">6. AUTHORIZED SIGNATORIES</w:t>
      </w:r>
    </w:p>
    <w:p>
      <w:pPr>
        <w:pStyle w:val="BodyText"/>
      </w:pPr>
      <w:r>
        <w:rPr>
          <w:bCs/>
          <w:b/>
        </w:rPr>
        <w:t xml:space="preserve">For and on behalf of the Purchaser:</w:t>
      </w:r>
      <w:r>
        <w:br/>
      </w:r>
      <w:r>
        <w:t xml:space="preserve">Al Noor Trading &amp; Logistics FZE</w:t>
      </w:r>
    </w:p>
    <w:p>
      <w:pPr>
        <w:pStyle w:val="BodyText"/>
      </w:pPr>
      <w:r>
        <w:t xml:space="preserve">Name: Mr. Khalid Al Mansoori</w:t>
      </w:r>
      <w:r>
        <w:br/>
      </w:r>
      <w:r>
        <w:t xml:space="preserve">Title: Chief Financial Officer</w:t>
      </w:r>
      <w:r>
        <w:br/>
      </w:r>
      <w:r>
        <w:t xml:space="preserve">Date: _______________</w:t>
      </w:r>
    </w:p>
    <w:p>
      <w:pPr>
        <w:pStyle w:val="BodyText"/>
      </w:pPr>
      <w:r>
        <w:rPr>
          <w:bCs/>
          <w:b/>
        </w:rPr>
        <w:t xml:space="preserve">For and on behalf of the Auditor:</w:t>
      </w:r>
      <w:r>
        <w:br/>
      </w:r>
      <w:r>
        <w:t xml:space="preserve">Gulf Crest Audit &amp; Advisory LLC</w:t>
      </w:r>
    </w:p>
    <w:p>
      <w:pPr>
        <w:pStyle w:val="BodyText"/>
      </w:pPr>
      <w:r>
        <w:t xml:space="preserve">Name: Ms. Fatima Al Rashidi</w:t>
      </w:r>
      <w:r>
        <w:br/>
      </w:r>
      <w:r>
        <w:t xml:space="preserve">Title: Lead Auditor / Engagement Partner</w:t>
      </w:r>
      <w:r>
        <w:br/>
      </w:r>
      <w:r>
        <w:t xml:space="preserve">Date: _______________</w:t>
      </w:r>
    </w:p>
    <w:p>
      <w:pPr>
        <w:pStyle w:val="BodyText"/>
      </w:pPr>
      <w:r>
        <w:t xml:space="preserve">This Purchase Order (PO-DXB-2025-04872) is issued in the United Arab Emirates, Dubai, and constitutes a binding commitment upon signature by both parties. This document is valid for a period of thirty (30) days from the date of issue. All references to "Auditor" in this document refer to Gulf Crest Audit &amp; Advisory LLC and its designated engagement team. This Purchase Order is subject to the laws of the United Arab Emirates and the regulations of the Dubai government authorities.</w:t>
      </w:r>
    </w:p>
    <w:p>
      <w:pPr>
        <w:pStyle w:val="BodyText"/>
      </w:pPr>
      <w:r>
        <w:t xml:space="preserve">© 2025 Al Noor Trading &amp; Logistics FZE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Arab Emirates Dubai</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