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meridian-financial-group-inc."/>
    <w:p>
      <w:pPr>
        <w:pStyle w:val="Heading1"/>
      </w:pPr>
      <w:r>
        <w:t xml:space="preserve">Meridian Financial Group, Inc.</w:t>
      </w:r>
    </w:p>
    <w:p>
      <w:pPr>
        <w:pStyle w:val="FirstParagraph"/>
      </w:pPr>
      <w:r>
        <w:t xml:space="preserve">1200 Brickell Avenue, Suite 2400, Miami, Florida 33131, United States</w:t>
      </w:r>
    </w:p>
    <w:p>
      <w:pPr>
        <w:pStyle w:val="BodyText"/>
      </w:pPr>
      <w:r>
        <w:t xml:space="preserve">Phone: (305) 555-0187  |  Email: procurement@meridianfg.com  |  Tax ID: 82-4471903</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PO-2025-MIA-004872</w:t>
      </w:r>
    </w:p>
    <w:p>
      <w:pPr>
        <w:pStyle w:val="BodyText"/>
      </w:pPr>
      <w:r>
        <w:rPr>
          <w:bCs/>
          <w:b/>
        </w:rPr>
        <w:t xml:space="preserve">Date of Issue:</w:t>
      </w:r>
      <w:r>
        <w:t xml:space="preserve"> </w:t>
      </w:r>
      <w:r>
        <w:t xml:space="preserve">June 12, 2025</w:t>
      </w:r>
    </w:p>
    <w:p>
      <w:pPr>
        <w:pStyle w:val="BodyText"/>
      </w:pPr>
      <w:r>
        <w:rPr>
          <w:bCs/>
          <w:b/>
        </w:rPr>
        <w:t xml:space="preserve">Required Completion Date:</w:t>
      </w:r>
      <w:r>
        <w:t xml:space="preserve"> </w:t>
      </w:r>
      <w:r>
        <w:t xml:space="preserve">August 30,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United States Dollars (USD)</w:t>
      </w:r>
    </w:p>
    <w:p>
      <w:pPr>
        <w:pStyle w:val="BodyText"/>
      </w:pPr>
      <w:r>
        <w:rPr>
          <w:bCs/>
          <w:b/>
        </w:rPr>
        <w:t xml:space="preserve">Department:</w:t>
      </w:r>
      <w:r>
        <w:t xml:space="preserve"> </w:t>
      </w:r>
      <w:r>
        <w:t xml:space="preserve">Internal Compliance &amp; Risk Management</w:t>
      </w:r>
    </w:p>
    <w:bookmarkEnd w:id="21"/>
    <w:bookmarkStart w:id="22" w:name="vendor-auditor-information"/>
    <w:p>
      <w:pPr>
        <w:pStyle w:val="Heading3"/>
      </w:pPr>
      <w:r>
        <w:t xml:space="preserve">Vendor / Auditor Information</w:t>
      </w:r>
    </w:p>
    <w:p>
      <w:pPr>
        <w:pStyle w:val="FirstParagraph"/>
      </w:pPr>
      <w:r>
        <w:rPr>
          <w:bCs/>
          <w:b/>
        </w:rPr>
        <w:t xml:space="preserve">Company:</w:t>
      </w:r>
      <w:r>
        <w:t xml:space="preserve"> </w:t>
      </w:r>
      <w:r>
        <w:t xml:space="preserve">Clearview Audit &amp; Advisory Partners, LLC</w:t>
      </w:r>
    </w:p>
    <w:p>
      <w:pPr>
        <w:pStyle w:val="BodyText"/>
      </w:pPr>
      <w:r>
        <w:rPr>
          <w:bCs/>
          <w:b/>
        </w:rPr>
        <w:t xml:space="preserve">Address:</w:t>
      </w:r>
      <w:r>
        <w:t xml:space="preserve"> </w:t>
      </w:r>
      <w:r>
        <w:t xml:space="preserve">801 Biscayne Boulevard, Suite 1500, Miami, Florida 33132, United States</w:t>
      </w:r>
    </w:p>
    <w:p>
      <w:pPr>
        <w:pStyle w:val="BodyText"/>
      </w:pPr>
      <w:r>
        <w:rPr>
          <w:bCs/>
          <w:b/>
        </w:rPr>
        <w:t xml:space="preserve">Contact Person:</w:t>
      </w:r>
      <w:r>
        <w:t xml:space="preserve"> </w:t>
      </w:r>
      <w:r>
        <w:t xml:space="preserve">Dr. Elena Vasquez, CPA, CFE</w:t>
      </w:r>
    </w:p>
    <w:p>
      <w:pPr>
        <w:pStyle w:val="BodyText"/>
      </w:pPr>
      <w:r>
        <w:rPr>
          <w:bCs/>
          <w:b/>
        </w:rPr>
        <w:t xml:space="preserve">Phone:</w:t>
      </w:r>
      <w:r>
        <w:t xml:space="preserve"> </w:t>
      </w:r>
      <w:r>
        <w:t xml:space="preserve">(305) 555-0234</w:t>
      </w:r>
    </w:p>
    <w:p>
      <w:pPr>
        <w:pStyle w:val="BodyText"/>
      </w:pPr>
      <w:r>
        <w:rPr>
          <w:bCs/>
          <w:b/>
        </w:rPr>
        <w:t xml:space="preserve">Email:</w:t>
      </w:r>
      <w:r>
        <w:t xml:space="preserve"> </w:t>
      </w:r>
      <w:r>
        <w:t xml:space="preserve">e.vasquez@clearviewaudit.com</w:t>
      </w:r>
    </w:p>
    <w:p>
      <w:pPr>
        <w:pStyle w:val="BodyText"/>
      </w:pPr>
      <w:r>
        <w:rPr>
          <w:bCs/>
          <w:b/>
        </w:rPr>
        <w:t xml:space="preserve">State License No.:</w:t>
      </w:r>
      <w:r>
        <w:t xml:space="preserve"> </w:t>
      </w:r>
      <w:r>
        <w:t xml:space="preserve">FL-CPA-2019-008842</w:t>
      </w:r>
    </w:p>
    <w:bookmarkEnd w:id="22"/>
    <w:bookmarkStart w:id="24" w:name="scope-of-services-auditor-engagement"/>
    <w:p>
      <w:pPr>
        <w:pStyle w:val="Heading2"/>
      </w:pPr>
      <w:r>
        <w:t xml:space="preserve">Scope of Services – Auditor Engagement</w:t>
      </w:r>
    </w:p>
    <w:p>
      <w:pPr>
        <w:pStyle w:val="FirstParagraph"/>
      </w:pPr>
      <w:r>
        <w:t xml:space="preserve">This Purchase Order authorizes the procurement of professional Auditor services from Clearview Audit &amp; Advisory Partners, LLC for the fiscal year 2024–2025. The Auditor shall perform a comprehensive independent financial audit, internal controls assessment, and regulatory compliance review in accordance with Generally Accepted Auditing Standards (GAAS) and the requirements of the Public Company Accounting Oversight Board (PCAOB). All work shall be conducted at the Meridian Financial Group offices located in Miami, United States, and at such additional locations within the State of Florida as may be reasonably required.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 #</w:t>
            </w:r>
          </w:p>
        </w:tc>
        <w:tc>
          <w:tcPr/>
          <w:p>
            <w:pPr>
              <w:pStyle w:val="Compact"/>
              <w:jc w:val="left"/>
            </w:pPr>
            <w:r>
              <w:t xml:space="preserve">Description of Auditor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Independent Financial Statement Audit – Annual Report FY 2024–2025, including balance sheet, income statement, cash flow statement, and statement of shareholders' equity verification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Internal Controls Assessment and SOX 404 Compliance Review for all Miami, United States operating divisions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3</w:t>
            </w:r>
          </w:p>
        </w:tc>
        <w:tc>
          <w:tcPr/>
          <w:p>
            <w:pPr>
              <w:pStyle w:val="Compact"/>
              <w:jc w:val="left"/>
            </w:pPr>
            <w:r>
              <w:t xml:space="preserve">Regulatory Compliance Audit – Florida Department of Financial Services and SEC reporting requirements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4</w:t>
            </w:r>
          </w:p>
        </w:tc>
        <w:tc>
          <w:tcPr/>
          <w:p>
            <w:pPr>
              <w:pStyle w:val="Compact"/>
              <w:jc w:val="left"/>
            </w:pPr>
            <w:r>
              <w:t xml:space="preserve">Forensic Audit Support – Transaction-level testing of high-risk accounts (approximately 120 hours of Auditor fieldwork)</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5</w:t>
            </w:r>
          </w:p>
        </w:tc>
        <w:tc>
          <w:tcPr/>
          <w:p>
            <w:pPr>
              <w:pStyle w:val="Compact"/>
              <w:jc w:val="left"/>
            </w:pPr>
            <w:r>
              <w:t xml:space="preserve">Management Letter and Remediation Roadmap – Written findings, risk ratings, and corrective action plan delivered to the Miami, United States executive board</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6</w:t>
            </w:r>
          </w:p>
        </w:tc>
        <w:tc>
          <w:tcPr/>
          <w:p>
            <w:pPr>
              <w:pStyle w:val="Compact"/>
              <w:jc w:val="left"/>
            </w:pPr>
            <w:r>
              <w:t xml:space="preserve">On-site Auditor Supervision and Quality Review – Senior Auditor partner present at Miami headquarters for a minimum of 10 business days</w:t>
            </w:r>
          </w:p>
        </w:tc>
        <w:tc>
          <w:tcPr/>
          <w:p>
            <w:pPr>
              <w:pStyle w:val="Compact"/>
              <w:jc w:val="left"/>
            </w:pPr>
            <w:r>
              <w:t xml:space="preserve">10</w:t>
            </w:r>
          </w:p>
        </w:tc>
        <w:tc>
          <w:tcPr/>
          <w:p>
            <w:pPr>
              <w:pStyle w:val="Compact"/>
              <w:jc w:val="left"/>
            </w:pPr>
            <w:r>
              <w:t xml:space="preserve">Days</w:t>
            </w:r>
          </w:p>
        </w:tc>
        <w:tc>
          <w:tcPr/>
          <w:p>
            <w:pPr>
              <w:pStyle w:val="Compact"/>
              <w:jc w:val="left"/>
            </w:pPr>
            <w:r>
              <w:t xml:space="preserve">$1,200.00</w:t>
            </w:r>
          </w:p>
        </w:tc>
        <w:tc>
          <w:tcPr/>
          <w:p>
            <w:pPr>
              <w:pStyle w:val="Compact"/>
              <w:jc w:val="left"/>
            </w:pPr>
            <w:r>
              <w:t xml:space="preserve">$12,000.00</w:t>
            </w:r>
          </w:p>
        </w:tc>
      </w:tr>
    </w:tbl>
    <w:p>
      <w:pPr>
        <w:pStyle w:val="BodyText"/>
      </w:pPr>
      <w:r>
        <w:rPr>
          <w:bCs/>
          <w:b/>
        </w:rPr>
        <w:t xml:space="preserve">Subtotal:</w:t>
      </w:r>
      <w:r>
        <w:t xml:space="preserve"> </w:t>
      </w:r>
      <w:r>
        <w:t xml:space="preserve">$152,950.00</w:t>
      </w:r>
    </w:p>
    <w:p>
      <w:pPr>
        <w:pStyle w:val="BodyText"/>
      </w:pPr>
      <w:r>
        <w:rPr>
          <w:bCs/>
          <w:b/>
        </w:rPr>
        <w:t xml:space="preserve">Florida Sales &amp; Use Tax (7.0%):</w:t>
      </w:r>
      <w:r>
        <w:t xml:space="preserve"> </w:t>
      </w:r>
      <w:r>
        <w:t xml:space="preserve">$10,706.50</w:t>
      </w:r>
    </w:p>
    <w:p>
      <w:pPr>
        <w:pStyle w:val="BodyText"/>
      </w:pPr>
      <w:r>
        <w:rPr>
          <w:bCs/>
          <w:b/>
        </w:rPr>
        <w:t xml:space="preserve">Travel &amp; Lodging Allowance (Miami, United States):</w:t>
      </w:r>
      <w:r>
        <w:t xml:space="preserve"> </w:t>
      </w:r>
      <w:r>
        <w:t xml:space="preserve">$4,300.00</w:t>
      </w:r>
    </w:p>
    <w:p>
      <w:pPr>
        <w:pStyle w:val="BodyText"/>
      </w:pPr>
      <w:r>
        <w:rPr>
          <w:bCs/>
          <w:b/>
        </w:rPr>
        <w:t xml:space="preserve">Grand Total: $167,956.50 USD</w:t>
      </w:r>
    </w:p>
    <w:bookmarkStart w:id="23" w:name="terms-and-conditions"/>
    <w:p>
      <w:pPr>
        <w:pStyle w:val="Heading3"/>
      </w:pPr>
      <w:r>
        <w:t xml:space="preserve">Terms and Conditions</w:t>
      </w:r>
    </w:p>
    <w:p>
      <w:pPr>
        <w:numPr>
          <w:ilvl w:val="0"/>
          <w:numId w:val="1001"/>
        </w:numPr>
        <w:pStyle w:val="Compact"/>
      </w:pPr>
      <w:r>
        <w:t xml:space="preserve">This Purchase Order constitutes a binding agreement between Meridian Financial Group, Inc. (hereinafter "Buyer") and Clearview Audit &amp; Advisory Partners, LLC (hereinafter "Auditor" or "Vendor") for the provision of professional audit and advisory services as described herein.</w:t>
      </w:r>
    </w:p>
    <w:p>
      <w:pPr>
        <w:numPr>
          <w:ilvl w:val="0"/>
          <w:numId w:val="1001"/>
        </w:numPr>
        <w:pStyle w:val="Compact"/>
      </w:pPr>
      <w:r>
        <w:t xml:space="preserve">The Auditor shall maintain professional independence at all times and shall not accept any compensation, gift, or benefit from any third party that could impair or appear to impair objectivity during the engagement period.</w:t>
      </w:r>
    </w:p>
    <w:p>
      <w:pPr>
        <w:numPr>
          <w:ilvl w:val="0"/>
          <w:numId w:val="1001"/>
        </w:numPr>
        <w:pStyle w:val="Compact"/>
      </w:pPr>
      <w:r>
        <w:t xml:space="preserve">All Auditor fieldwork shall be performed primarily at the Buyer's principal offices in Miami, United States. The Auditor shall comply with all site security protocols, data handling procedures, and non-disclosure agreements in effect at the time of engagement.</w:t>
      </w:r>
    </w:p>
    <w:p>
      <w:pPr>
        <w:numPr>
          <w:ilvl w:val="0"/>
          <w:numId w:val="1001"/>
        </w:numPr>
        <w:pStyle w:val="Compact"/>
      </w:pPr>
      <w:r>
        <w:t xml:space="preserve">The Auditor shall deliver a preliminary draft of the audit report no later than August 15, 2025, and the final signed Auditor report no later than August 30, 2025. Failure to meet these deadlines shall entitle the Buyer to a penalty of 1.5% of the total contract value per business day of delay, capped at 10%.</w:t>
      </w:r>
    </w:p>
    <w:p>
      <w:pPr>
        <w:numPr>
          <w:ilvl w:val="0"/>
          <w:numId w:val="1001"/>
        </w:numPr>
        <w:pStyle w:val="Compact"/>
      </w:pPr>
      <w:r>
        <w:t xml:space="preserve">Payment shall be made within thirty (30) calendar days of receipt of a valid invoice from the Auditor, provided that all deliverables have been accepted in writing by the Buyer's Chief Financial Officer. Invoices must reference this Purchase Order number (PO-2025-MIA-004872).</w:t>
      </w:r>
    </w:p>
    <w:p>
      <w:pPr>
        <w:numPr>
          <w:ilvl w:val="0"/>
          <w:numId w:val="1001"/>
        </w:numPr>
        <w:pStyle w:val="Compact"/>
      </w:pPr>
      <w:r>
        <w:t xml:space="preserve">The Auditor warrants that all services shall be performed in accordance with applicable United States federal and Florida state laws, including but not limited to the Florida Statutes Chapter 473 (Accountancy) and the Sarbanes-Oxley Act of 2002.</w:t>
      </w:r>
    </w:p>
    <w:p>
      <w:pPr>
        <w:numPr>
          <w:ilvl w:val="0"/>
          <w:numId w:val="1001"/>
        </w:numPr>
        <w:pStyle w:val="Compact"/>
      </w:pPr>
      <w:r>
        <w:t xml:space="preserve">Any changes to the scope, timeline, or deliverables of this Purchase Order must be documented in a written change order signed by both parties before additional work commences.</w:t>
      </w:r>
    </w:p>
    <w:p>
      <w:pPr>
        <w:numPr>
          <w:ilvl w:val="0"/>
          <w:numId w:val="1001"/>
        </w:numPr>
        <w:pStyle w:val="Compact"/>
      </w:pPr>
      <w:r>
        <w:t xml:space="preserve">This Purchase Order shall be governed by and construed in accordance with the laws of the State of Florida, United States. Any disputes arising hereunder shall be resolved through binding arbitration in Miami-Dade County, Florida, in accordance with the rules of the American Arbitration Association.</w:t>
      </w:r>
    </w:p>
    <w:p>
      <w:pPr>
        <w:numPr>
          <w:ilvl w:val="0"/>
          <w:numId w:val="1001"/>
        </w:numPr>
        <w:pStyle w:val="Compact"/>
      </w:pPr>
      <w:r>
        <w:t xml:space="preserve">The Auditor shall carry professional liability insurance with a minimum coverage of $5,000,000 per occurrence and shall provide a certificate of insurance to the Buyer prior to commencing work.</w:t>
      </w:r>
    </w:p>
    <w:p>
      <w:pPr>
        <w:numPr>
          <w:ilvl w:val="0"/>
          <w:numId w:val="1001"/>
        </w:numPr>
        <w:pStyle w:val="Compact"/>
      </w:pPr>
      <w:r>
        <w:t xml:space="preserve">This Purchase Order is valid for a period of ninety (90) days from the date of issue. If not accepted and countersigned by the Auditor within that period, it shall automatically expire.</w:t>
      </w:r>
    </w:p>
    <w:bookmarkEnd w:id="23"/>
    <w:p>
      <w:pPr>
        <w:pStyle w:val="FirstParagraph"/>
      </w:pPr>
      <w:r>
        <w:rPr>
          <w:bCs/>
          <w:b/>
        </w:rPr>
        <w:t xml:space="preserve">Authorized by (Buyer):</w:t>
      </w:r>
    </w:p>
    <w:p>
      <w:pPr>
        <w:pStyle w:val="BodyText"/>
      </w:pPr>
      <w:r>
        <w:t xml:space="preserve">_______________________________</w:t>
      </w:r>
    </w:p>
    <w:p>
      <w:pPr>
        <w:pStyle w:val="BodyText"/>
      </w:pPr>
      <w:r>
        <w:t xml:space="preserve">Robert J. Callahan</w:t>
      </w:r>
    </w:p>
    <w:p>
      <w:pPr>
        <w:pStyle w:val="BodyText"/>
      </w:pPr>
      <w:r>
        <w:t xml:space="preserve">Chief Financial Officer</w:t>
      </w:r>
    </w:p>
    <w:p>
      <w:pPr>
        <w:pStyle w:val="BodyText"/>
      </w:pPr>
      <w:r>
        <w:t xml:space="preserve">Meridian Financial Group, Inc.</w:t>
      </w:r>
    </w:p>
    <w:p>
      <w:pPr>
        <w:pStyle w:val="BodyText"/>
      </w:pPr>
      <w:r>
        <w:t xml:space="preserve">Date: _______________</w:t>
      </w:r>
    </w:p>
    <w:p>
      <w:pPr>
        <w:pStyle w:val="BodyText"/>
      </w:pPr>
      <w:r>
        <w:rPr>
          <w:bCs/>
          <w:b/>
        </w:rPr>
        <w:t xml:space="preserve">Accepted by (Auditor / Vendor):</w:t>
      </w:r>
    </w:p>
    <w:p>
      <w:pPr>
        <w:pStyle w:val="BodyText"/>
      </w:pPr>
      <w:r>
        <w:t xml:space="preserve">_______________________________</w:t>
      </w:r>
    </w:p>
    <w:p>
      <w:pPr>
        <w:pStyle w:val="BodyText"/>
      </w:pPr>
      <w:r>
        <w:t xml:space="preserve">Dr. Elena Vasquez, CPA, CFE</w:t>
      </w:r>
    </w:p>
    <w:p>
      <w:pPr>
        <w:pStyle w:val="BodyText"/>
      </w:pPr>
      <w:r>
        <w:t xml:space="preserve">Managing Partner</w:t>
      </w:r>
    </w:p>
    <w:p>
      <w:pPr>
        <w:pStyle w:val="BodyText"/>
      </w:pPr>
      <w:r>
        <w:t xml:space="preserve">Clearview Audit &amp; Advisory Partners, LLC</w:t>
      </w:r>
    </w:p>
    <w:p>
      <w:pPr>
        <w:pStyle w:val="BodyText"/>
      </w:pPr>
      <w:r>
        <w:t xml:space="preserve">Date: _______________</w:t>
      </w:r>
    </w:p>
    <w:p>
      <w:pPr>
        <w:pStyle w:val="BodyText"/>
      </w:pPr>
      <w:r>
        <w:t xml:space="preserve">Purchase Order PO-2025-MIA-004872  |  Meridian Financial Group, Inc.  |  Miami, Florida, United States</w:t>
      </w:r>
    </w:p>
    <w:p>
      <w:pPr>
        <w:pStyle w:val="BodyText"/>
      </w:pPr>
      <w:r>
        <w:t xml:space="preserve">This document is confidential and intended solely for the named parties. Unauthorized reproduction or distribution is prohibited.</w:t>
      </w:r>
    </w:p>
    <w:p>
      <w:pPr>
        <w:pStyle w:val="BodyText"/>
      </w:pPr>
      <w:r>
        <w:t xml:space="preserve">Page 1 of 1  |  Generated: June 12,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Miami, United States</dc:title>
  <dc:creator/>
  <dc:language>en</dc:language>
  <cp:keywords/>
  <dcterms:created xsi:type="dcterms:W3CDTF">2026-10-10T03:49:29Z</dcterms:created>
  <dcterms:modified xsi:type="dcterms:W3CDTF">2026-10-10T03:49:29Z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