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rPr>
          <w:bCs/>
          <w:b/>
        </w:rPr>
        <w:t xml:space="preserve">Meridian Financial Holdings, LLC</w:t>
      </w:r>
    </w:p>
    <w:p>
      <w:pPr>
        <w:pStyle w:val="BodyText"/>
      </w:pPr>
      <w:r>
        <w:t xml:space="preserve">200 Park Avenue, Suite 4200, New York, NY 10166, United States</w:t>
      </w:r>
    </w:p>
    <w:p>
      <w:pPr>
        <w:pStyle w:val="BodyText"/>
      </w:pPr>
      <w:r>
        <w:t xml:space="preserve">Telephone: (212) 555-0147 | Email: procurement@meridianfinancial.com</w:t>
      </w:r>
    </w:p>
    <w:p>
      <w:pPr>
        <w:pStyle w:val="BodyText"/>
      </w:pPr>
      <w:r>
        <w:t xml:space="preserve">NYC Business License No. 41-2876543 | EIN: 84-XXXXXXX</w:t>
      </w:r>
    </w:p>
    <w:bookmarkEnd w:id="20"/>
    <w:p>
      <w:pPr>
        <w:pStyle w:val="BodyText"/>
      </w:pPr>
      <w:r>
        <w:rPr>
          <w:bCs/>
          <w:b/>
        </w:rPr>
        <w:t xml:space="preserve">Purchase Order No.:</w:t>
      </w:r>
      <w:r>
        <w:t xml:space="preserve"> </w:t>
      </w:r>
      <w:r>
        <w:t xml:space="preserve">PO-2025-NYC-04872</w:t>
      </w:r>
    </w:p>
    <w:p>
      <w:pPr>
        <w:pStyle w:val="BodyText"/>
      </w:pPr>
      <w:r>
        <w:rPr>
          <w:bCs/>
          <w:b/>
        </w:rPr>
        <w:t xml:space="preserve">Date of Issue:</w:t>
      </w:r>
      <w:r>
        <w:t xml:space="preserve"> </w:t>
      </w:r>
      <w:r>
        <w:t xml:space="preserve">June 12, 2025</w:t>
      </w:r>
    </w:p>
    <w:p>
      <w:pPr>
        <w:pStyle w:val="BodyText"/>
      </w:pPr>
      <w:r>
        <w:rPr>
          <w:bCs/>
          <w:b/>
        </w:rPr>
        <w:t xml:space="preserve">Required Delivery/Start Date:</w:t>
      </w:r>
      <w:r>
        <w:t xml:space="preserve"> </w:t>
      </w:r>
      <w:r>
        <w:t xml:space="preserve">July 1, 2025</w:t>
      </w:r>
    </w:p>
    <w:p>
      <w:pPr>
        <w:pStyle w:val="BodyText"/>
      </w:pPr>
      <w:r>
        <w:rPr>
          <w:bCs/>
          <w:b/>
        </w:rPr>
        <w:t xml:space="preserve">Vendor / Contractor:</w:t>
      </w:r>
      <w:r>
        <w:t xml:space="preserve"> </w:t>
      </w:r>
      <w:r>
        <w:t xml:space="preserve">Sterling &amp; Associates Audit Group, LLP</w:t>
      </w:r>
    </w:p>
    <w:p>
      <w:pPr>
        <w:pStyle w:val="BodyText"/>
      </w:pPr>
      <w:r>
        <w:rPr>
          <w:bCs/>
          <w:b/>
        </w:rPr>
        <w:t xml:space="preserve">Vendor Address:</w:t>
      </w:r>
      <w:r>
        <w:t xml:space="preserve"> </w:t>
      </w:r>
      <w:r>
        <w:t xml:space="preserve">350 Fifth Avenue, Floor 18, New York, NY 10118, United States</w:t>
      </w:r>
    </w:p>
    <w:p>
      <w:pPr>
        <w:pStyle w:val="BodyText"/>
      </w:pPr>
      <w:r>
        <w:rPr>
          <w:bCs/>
          <w:b/>
        </w:rPr>
        <w:t xml:space="preserve">Vendor Contact:</w:t>
      </w:r>
      <w:r>
        <w:t xml:space="preserve"> </w:t>
      </w:r>
      <w:r>
        <w:t xml:space="preserve">Margaret Chen, CPA, CGMA</w:t>
      </w:r>
    </w:p>
    <w:p>
      <w:pPr>
        <w:pStyle w:val="BodyText"/>
      </w:pPr>
      <w:r>
        <w:rPr>
          <w:bCs/>
          <w:b/>
        </w:rPr>
        <w:t xml:space="preserve">Vendor Phone:</w:t>
      </w:r>
      <w:r>
        <w:t xml:space="preserve"> </w:t>
      </w:r>
      <w:r>
        <w:t xml:space="preserve">(212) 555-0392</w:t>
      </w:r>
    </w:p>
    <w:p>
      <w:pPr>
        <w:pStyle w:val="BodyText"/>
      </w:pPr>
      <w:r>
        <w:t xml:space="preserve">1. Description of Services – Engagement of Auditor</w:t>
      </w:r>
    </w:p>
    <w:p>
      <w:pPr>
        <w:pStyle w:val="BodyText"/>
      </w:pPr>
      <w:r>
        <w:t xml:space="preserve">This</w:t>
      </w:r>
      <w:r>
        <w:t xml:space="preserve"> </w:t>
      </w:r>
      <w:r>
        <w:t xml:space="preserve">Purchase Order</w:t>
      </w:r>
      <w:r>
        <w:t xml:space="preserve"> </w:t>
      </w:r>
      <w:r>
        <w:t xml:space="preserve">is issued by Meridian Financial Holdings, LLC (hereinafter referred to as the "Purchasing Entity") to formally engage the services of Sterling &amp; Associates Audit Group, LLP (hereinafter referred to as the "Auditor") for the performance of a comprehensive independent financial audit in accordance with Generally Accepted Auditing Standards (GAAS) as established by the American Institute of Certified Public Accountants (AICPA). The</w:t>
      </w:r>
      <w:r>
        <w:t xml:space="preserve"> </w:t>
      </w:r>
      <w:r>
        <w:t xml:space="preserve">Auditor</w:t>
      </w:r>
      <w:r>
        <w:t xml:space="preserve"> </w:t>
      </w:r>
      <w:r>
        <w:t xml:space="preserve">shall conduct a full-scope audit of the Purchasing Entity's financial statements for the fiscal year ending December 31, 2025, including but not limited to the balance sheet, income statement, statement of cash flows, and statement of shareholders' equity.</w:t>
      </w:r>
    </w:p>
    <w:p>
      <w:pPr>
        <w:pStyle w:val="BodyText"/>
      </w:pPr>
      <w:r>
        <w:t xml:space="preserve">The engagement of the</w:t>
      </w:r>
      <w:r>
        <w:t xml:space="preserve"> </w:t>
      </w:r>
      <w:r>
        <w:t xml:space="preserve">Auditor</w:t>
      </w:r>
      <w:r>
        <w:t xml:space="preserve"> </w:t>
      </w:r>
      <w:r>
        <w:t xml:space="preserve">is necessitated by the regulatory requirements imposed by the New York State Department of Financial Services (NYDFS) and the Securities and Exchange Commission (SEC), as well as the internal governance policies of the Purchasing Entity. All audit procedures, fieldwork, and reporting activities shall be conducted within the jurisdiction of</w:t>
      </w:r>
      <w:r>
        <w:t xml:space="preserve"> </w:t>
      </w:r>
      <w:r>
        <w:t xml:space="preserve">United States New York City</w:t>
      </w:r>
      <w:r>
        <w:t xml:space="preserve">, with the primary audit office located at the Purchasing Entity's headquarters at 200 Park Avenue, Manhattan, New York, NY 10166. The</w:t>
      </w:r>
      <w:r>
        <w:t xml:space="preserve"> </w:t>
      </w:r>
      <w:r>
        <w:t xml:space="preserve">Auditor</w:t>
      </w:r>
      <w:r>
        <w:t xml:space="preserve"> </w:t>
      </w:r>
      <w:r>
        <w:t xml:space="preserve">is expected to maintain a dedicated on-site team of no fewer than six (6) certified professionals throughout the fieldwork period.</w:t>
      </w:r>
    </w:p>
    <w:p>
      <w:pPr>
        <w:pStyle w:val="BodyText"/>
      </w:pPr>
      <w:r>
        <w:t xml:space="preserve">2. Scope of Work and Deliverables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Independent Financial Audit – Full Scope (GAAS Compliance), including planning, risk assessment, and internal control evaluation</w:t>
            </w:r>
          </w:p>
        </w:tc>
        <w:tc>
          <w:tcPr/>
          <w:p>
            <w:pPr>
              <w:pStyle w:val="Compact"/>
              <w:jc w:val="left"/>
            </w:pPr>
            <w:r>
              <w:t xml:space="preserve">1 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Compliance Audit – NYDFS Regulatory Reporting and Anti-Money Laundering (AML) Procedures</w:t>
            </w:r>
          </w:p>
        </w:tc>
        <w:tc>
          <w:tcPr/>
          <w:p>
            <w:pPr>
              <w:pStyle w:val="Compact"/>
              <w:jc w:val="left"/>
            </w:pPr>
            <w:r>
              <w:t xml:space="preserve">1 Engagement</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3</w:t>
            </w:r>
          </w:p>
        </w:tc>
        <w:tc>
          <w:tcPr/>
          <w:p>
            <w:pPr>
              <w:pStyle w:val="Compact"/>
              <w:jc w:val="left"/>
            </w:pPr>
            <w:r>
              <w:t xml:space="preserve">IT General Controls Audit – Systems, Access, and Data Integrity Review</w:t>
            </w:r>
          </w:p>
        </w:tc>
        <w:tc>
          <w:tcPr/>
          <w:p>
            <w:pPr>
              <w:pStyle w:val="Compact"/>
              <w:jc w:val="left"/>
            </w:pPr>
            <w:r>
              <w:t xml:space="preserve">1 Engagement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Interim Review and Quarterly Reporting Support (Q1–Q3 FY2025)</w:t>
            </w:r>
          </w:p>
        </w:tc>
        <w:tc>
          <w:tcPr/>
          <w:p>
            <w:pPr>
              <w:pStyle w:val="Compact"/>
              <w:jc w:val="left"/>
            </w:pPr>
            <w:r>
              <w:t xml:space="preserve">3 Quarters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Management Letter and Remediation Advisory Services</w:t>
            </w:r>
          </w:p>
        </w:tc>
        <w:tc>
          <w:tcPr/>
          <w:p>
            <w:pPr>
              <w:pStyle w:val="Compact"/>
              <w:jc w:val="left"/>
            </w:pPr>
            <w:r>
              <w:t xml:space="preserve">1 Report</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6</w:t>
            </w:r>
          </w:p>
        </w:tc>
        <w:tc>
          <w:tcPr/>
          <w:p>
            <w:pPr>
              <w:pStyle w:val="Compact"/>
              <w:jc w:val="left"/>
            </w:pPr>
            <w:r>
              <w:t xml:space="preserve">Travel, Lodging, and On-Site Expenses within United States New York City Metro Area</w:t>
            </w:r>
          </w:p>
        </w:tc>
        <w:tc>
          <w:tcPr/>
          <w:p>
            <w:pPr>
              <w:pStyle w:val="Compact"/>
              <w:jc w:val="left"/>
            </w:pPr>
            <w:r>
              <w:t xml:space="preserve">Estimate</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right"/>
            </w:pPr>
            <w:r>
              <w:rPr>
                <w:bCs/>
                <w:b/>
              </w:rPr>
              <w:t xml:space="preserve">Subtotal:</w:t>
            </w:r>
          </w:p>
        </w:tc>
        <w:tc>
          <w:tcPr/>
          <w:p>
            <w:pPr>
              <w:pStyle w:val="Compact"/>
              <w:jc w:val="left"/>
            </w:pPr>
            <w:r>
              <w:rPr>
                <w:bCs/>
                <w:b/>
              </w:rPr>
              <w:t xml:space="preserve">$355,000.00</w:t>
            </w:r>
          </w:p>
        </w:tc>
      </w:tr>
      <w:tr>
        <w:tc>
          <w:tcPr>
            <w:gridSpan w:val="4"/>
          </w:tcPr>
          <w:p>
            <w:pPr>
              <w:pStyle w:val="Compact"/>
              <w:jc w:val="right"/>
            </w:pPr>
            <w:r>
              <w:rPr>
                <w:bCs/>
                <w:b/>
              </w:rPr>
              <w:t xml:space="preserve">Applicable NYC Sales &amp; Service Tax (8.875%):</w:t>
            </w:r>
          </w:p>
        </w:tc>
        <w:tc>
          <w:tcPr/>
          <w:p>
            <w:pPr>
              <w:pStyle w:val="Compact"/>
              <w:jc w:val="left"/>
            </w:pPr>
            <w:r>
              <w:rPr>
                <w:bCs/>
                <w:b/>
              </w:rPr>
              <w:t xml:space="preserve">$31,506.25</w:t>
            </w:r>
          </w:p>
        </w:tc>
      </w:tr>
      <w:tr>
        <w:tc>
          <w:tcPr>
            <w:gridSpan w:val="4"/>
          </w:tcPr>
          <w:p>
            <w:pPr>
              <w:pStyle w:val="Compact"/>
              <w:jc w:val="right"/>
            </w:pPr>
            <w:r>
              <w:rPr>
                <w:bCs/>
                <w:b/>
              </w:rPr>
              <w:t xml:space="preserve">TOTAL PURCHASE ORDER AMOUNT:</w:t>
            </w:r>
          </w:p>
        </w:tc>
        <w:tc>
          <w:tcPr/>
          <w:p>
            <w:pPr>
              <w:pStyle w:val="Compact"/>
              <w:jc w:val="left"/>
            </w:pPr>
            <w:r>
              <w:rPr>
                <w:bCs/>
                <w:b/>
              </w:rPr>
              <w:t xml:space="preserve">$386,506.25</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all related services shall be governed by and construed in accordance with the laws of the State of New York and the municipal ordinances applicable within</w:t>
      </w:r>
      <w:r>
        <w:t xml:space="preserve"> </w:t>
      </w:r>
      <w:r>
        <w:t xml:space="preserve">United States New York City</w:t>
      </w:r>
      <w:r>
        <w:t xml:space="preserve">. Any disputes arising hereunder shall be subject to the exclusive jurisdiction of the state and federal courts located in New York County, New York.</w:t>
      </w:r>
    </w:p>
    <w:p>
      <w:pPr>
        <w:numPr>
          <w:ilvl w:val="0"/>
          <w:numId w:val="1001"/>
        </w:numPr>
        <w:pStyle w:val="Compact"/>
      </w:pPr>
      <w:r>
        <w:rPr>
          <w:bCs/>
          <w:b/>
        </w:rPr>
        <w:t xml:space="preserve">Professional Standards:</w:t>
      </w:r>
      <w:r>
        <w:t xml:space="preserve"> </w:t>
      </w:r>
      <w:r>
        <w:t xml:space="preserve">The</w:t>
      </w:r>
      <w:r>
        <w:t xml:space="preserve"> </w:t>
      </w:r>
      <w:r>
        <w:t xml:space="preserve">Auditor</w:t>
      </w:r>
      <w:r>
        <w:t xml:space="preserve"> </w:t>
      </w:r>
      <w:r>
        <w:t xml:space="preserve">shall perform all services in strict compliance with GAAS, the Sarbanes-Oxley Act of 2002 (SOX), and all applicable regulations issued by the Public Company Accounting Oversight Board (PCAOB). The</w:t>
      </w:r>
      <w:r>
        <w:t xml:space="preserve"> </w:t>
      </w:r>
      <w:r>
        <w:t xml:space="preserve">Auditor</w:t>
      </w:r>
      <w:r>
        <w:t xml:space="preserve"> </w:t>
      </w:r>
      <w:r>
        <w:t xml:space="preserve">shall maintain full independence and objectivity as required by AICPA Code of Professional Conduct.</w:t>
      </w:r>
    </w:p>
    <w:p>
      <w:pPr>
        <w:numPr>
          <w:ilvl w:val="0"/>
          <w:numId w:val="1001"/>
        </w:numPr>
        <w:pStyle w:val="Compact"/>
      </w:pPr>
      <w:r>
        <w:rPr>
          <w:bCs/>
          <w:b/>
        </w:rPr>
        <w:t xml:space="preserve">Confidentiality and Data Protection:</w:t>
      </w:r>
      <w:r>
        <w:t xml:space="preserve"> </w:t>
      </w:r>
      <w:r>
        <w:t xml:space="preserve">All financial records, proprietary data, and internal documents provided to the</w:t>
      </w:r>
      <w:r>
        <w:t xml:space="preserve"> </w:t>
      </w:r>
      <w:r>
        <w:t xml:space="preserve">Auditor</w:t>
      </w:r>
      <w:r>
        <w:t xml:space="preserve"> </w:t>
      </w:r>
      <w:r>
        <w:t xml:space="preserve">shall be treated as strictly confidential. The</w:t>
      </w:r>
      <w:r>
        <w:t xml:space="preserve"> </w:t>
      </w:r>
      <w:r>
        <w:t xml:space="preserve">Auditor</w:t>
      </w:r>
      <w:r>
        <w:t xml:space="preserve"> </w:t>
      </w:r>
      <w:r>
        <w:t xml:space="preserve">shall comply with New York State's data protection statutes (NYCPLR Article 7-F) and shall not disclose any information to third parties without prior written consent from the Purchasing Entity.</w:t>
      </w:r>
    </w:p>
    <w:p>
      <w:pPr>
        <w:numPr>
          <w:ilvl w:val="0"/>
          <w:numId w:val="1001"/>
        </w:numPr>
        <w:pStyle w:val="Compact"/>
      </w:pPr>
      <w:r>
        <w:rPr>
          <w:bCs/>
          <w:b/>
        </w:rPr>
        <w:t xml:space="preserve">Payment Terms:</w:t>
      </w:r>
      <w:r>
        <w:t xml:space="preserve"> </w:t>
      </w:r>
      <w:r>
        <w:t xml:space="preserve">Payment shall be made within forty-five (45) days of receipt of a valid invoice from the</w:t>
      </w:r>
      <w:r>
        <w:t xml:space="preserve"> </w:t>
      </w:r>
      <w:r>
        <w:t xml:space="preserve">Auditor</w:t>
      </w:r>
      <w:r>
        <w:t xml:space="preserve">. Invoices shall be submitted to the Accounts Payable department at the Purchasing Entity's New York City office. A 1.5% monthly late-payment interest shall apply to overdue balances in accordance with New York State Commercial Law.</w:t>
      </w:r>
    </w:p>
    <w:p>
      <w:pPr>
        <w:numPr>
          <w:ilvl w:val="0"/>
          <w:numId w:val="1001"/>
        </w:numPr>
        <w:pStyle w:val="Compact"/>
      </w:pPr>
      <w:r>
        <w:rPr>
          <w:bCs/>
          <w:b/>
        </w:rPr>
        <w:t xml:space="preserve">Insurance Requirements:</w:t>
      </w:r>
      <w:r>
        <w:t xml:space="preserve"> </w:t>
      </w:r>
      <w:r>
        <w:t xml:space="preserve">The</w:t>
      </w:r>
      <w:r>
        <w:t xml:space="preserve"> </w:t>
      </w:r>
      <w:r>
        <w:t xml:space="preserve">Auditor</w:t>
      </w:r>
      <w:r>
        <w:t xml:space="preserve"> </w:t>
      </w:r>
      <w:r>
        <w:t xml:space="preserve">shall maintain professional liability (Errors &amp; Omissions) insurance with a minimum coverage of $5,000,000 per occurrence and $10,000,000 in the aggregate, as well as commercial general liability insurance of $2,000,000. Certificates of insurance shall be provided prior to the commencement of services.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Auditor</w:t>
      </w:r>
      <w:r>
        <w:t xml:space="preserve"> </w:t>
      </w:r>
      <w:r>
        <w:t xml:space="preserve">shall be compensated for all services rendered up to the effective date of termination, and all work-in-progress deliverables shall be transferred to the Purchasing Entity.</w:t>
      </w:r>
    </w:p>
    <w:p>
      <w:pPr>
        <w:numPr>
          <w:ilvl w:val="0"/>
          <w:numId w:val="1001"/>
        </w:numPr>
        <w:pStyle w:val="Compact"/>
      </w:pPr>
      <w:r>
        <w:rPr>
          <w:bCs/>
          <w:b/>
        </w:rPr>
        <w:t xml:space="preserve">Compliance with NYC Regulations:</w:t>
      </w:r>
      <w:r>
        <w:t xml:space="preserve"> </w:t>
      </w:r>
      <w:r>
        <w:t xml:space="preserve">The</w:t>
      </w:r>
      <w:r>
        <w:t xml:space="preserve"> </w:t>
      </w:r>
      <w:r>
        <w:t xml:space="preserve">Auditor</w:t>
      </w:r>
      <w:r>
        <w:t xml:space="preserve"> </w:t>
      </w:r>
      <w:r>
        <w:t xml:space="preserve">acknowledges that all on-site work shall be conducted in compliance with the New York City Administrative Code, including but not limited to building access protocols, data security regulations, and any applicable local business licensing requirements within</w:t>
      </w:r>
      <w:r>
        <w:t xml:space="preserve"> </w:t>
      </w:r>
      <w:r>
        <w:t xml:space="preserve">United States New York City</w:t>
      </w:r>
      <w:r>
        <w:t xml:space="preserve">.</w:t>
      </w:r>
    </w:p>
    <w:p>
      <w:pPr>
        <w:numPr>
          <w:ilvl w:val="0"/>
          <w:numId w:val="1001"/>
        </w:numPr>
        <w:pStyle w:val="Compact"/>
      </w:pPr>
      <w:r>
        <w:rPr>
          <w:bCs/>
          <w:b/>
        </w:rPr>
        <w:t xml:space="preserve">Warranty of Services:</w:t>
      </w:r>
      <w:r>
        <w:t xml:space="preserve"> </w:t>
      </w:r>
      <w:r>
        <w:t xml:space="preserve">The</w:t>
      </w:r>
      <w:r>
        <w:t xml:space="preserve"> </w:t>
      </w:r>
      <w:r>
        <w:t xml:space="preserve">Auditor</w:t>
      </w:r>
      <w:r>
        <w:t xml:space="preserve"> </w:t>
      </w:r>
      <w:r>
        <w:t xml:space="preserve">warrants that all audit opinions, reports, and advisory deliverables shall be prepared with the exercise of reasonable professional skill, care, and diligence. The</w:t>
      </w:r>
      <w:r>
        <w:t xml:space="preserve"> </w:t>
      </w:r>
      <w:r>
        <w:t xml:space="preserve">Auditor</w:t>
      </w:r>
      <w:r>
        <w:t xml:space="preserve"> </w:t>
      </w:r>
      <w:r>
        <w:t xml:space="preserve">shall correct any material errors identified in the final audit report at no additional cost to the Purchasing Entity.</w:t>
      </w:r>
    </w:p>
    <w:p>
      <w:pPr>
        <w:pStyle w:val="FirstParagraph"/>
      </w:pPr>
      <w:r>
        <w:t xml:space="preserve">4. Authorized Signatories</w:t>
      </w:r>
    </w:p>
    <w:p>
      <w:pPr>
        <w:pStyle w:val="BodyText"/>
      </w:pPr>
      <w:r>
        <w:rPr>
          <w:bCs/>
          <w:b/>
        </w:rPr>
        <w:t xml:space="preserve">For the Purchasing Entity:</w:t>
      </w:r>
    </w:p>
    <w:p>
      <w:pPr>
        <w:pStyle w:val="BodyText"/>
      </w:pPr>
      <w:r>
        <w:t xml:space="preserve">Meridian Financial Holdings, LLC</w:t>
      </w:r>
    </w:p>
    <w:p>
      <w:pPr>
        <w:pStyle w:val="BodyText"/>
      </w:pPr>
      <w:r>
        <w:t xml:space="preserve">Signature: ______________________________</w:t>
      </w:r>
    </w:p>
    <w:p>
      <w:pPr>
        <w:pStyle w:val="BodyText"/>
      </w:pPr>
      <w:r>
        <w:t xml:space="preserve">Name: David R. Whitfield</w:t>
      </w:r>
    </w:p>
    <w:p>
      <w:pPr>
        <w:pStyle w:val="BodyText"/>
      </w:pPr>
      <w:r>
        <w:t xml:space="preserve">Title: Chief Financial Officer</w:t>
      </w:r>
    </w:p>
    <w:p>
      <w:pPr>
        <w:pStyle w:val="BodyText"/>
      </w:pPr>
      <w:r>
        <w:t xml:space="preserve">Date: ______________________________</w:t>
      </w:r>
    </w:p>
    <w:p>
      <w:pPr>
        <w:pStyle w:val="BodyText"/>
      </w:pPr>
      <w:r>
        <w:rPr>
          <w:bCs/>
          <w:b/>
        </w:rPr>
        <w:t xml:space="preserve">For the Auditor / Vendor:</w:t>
      </w:r>
    </w:p>
    <w:p>
      <w:pPr>
        <w:pStyle w:val="BodyText"/>
      </w:pPr>
      <w:r>
        <w:t xml:space="preserve">Sterling &amp; Associates Audit Group, LLP</w:t>
      </w:r>
    </w:p>
    <w:p>
      <w:pPr>
        <w:pStyle w:val="BodyText"/>
      </w:pPr>
      <w:r>
        <w:t xml:space="preserve">Signature: ______________________________</w:t>
      </w:r>
    </w:p>
    <w:p>
      <w:pPr>
        <w:pStyle w:val="BodyText"/>
      </w:pPr>
      <w:r>
        <w:t xml:space="preserve">Name: Margaret Chen, CPA, CGMA</w:t>
      </w:r>
    </w:p>
    <w:p>
      <w:pPr>
        <w:pStyle w:val="BodyText"/>
      </w:pPr>
      <w:r>
        <w:t xml:space="preserve">Title: Managing Partner</w:t>
      </w:r>
    </w:p>
    <w:p>
      <w:pPr>
        <w:pStyle w:val="BodyText"/>
      </w:pPr>
      <w:r>
        <w:t xml:space="preserve">Date: ______________________________</w:t>
      </w:r>
    </w:p>
    <w:p>
      <w:pPr>
        <w:pStyle w:val="BodyText"/>
      </w:pPr>
      <w:r>
        <w:t xml:space="preserve">This</w:t>
      </w:r>
      <w:r>
        <w:t xml:space="preserve"> </w:t>
      </w:r>
      <w:r>
        <w:t xml:space="preserve">Purchase Order</w:t>
      </w:r>
      <w:r>
        <w:t xml:space="preserve"> </w:t>
      </w:r>
      <w:r>
        <w:t xml:space="preserve">(PO-2025-NYC-04872) constitutes a binding agreement between the Purchasing Entity and the</w:t>
      </w:r>
      <w:r>
        <w:t xml:space="preserve"> </w:t>
      </w:r>
      <w:r>
        <w:t xml:space="preserve">Auditor</w:t>
      </w:r>
      <w:r>
        <w:t xml:space="preserve"> </w:t>
      </w:r>
      <w:r>
        <w:t xml:space="preserve">upon execution by both authorized signatories. All services shall be performed within the jurisdiction of</w:t>
      </w:r>
      <w:r>
        <w:t xml:space="preserve"> </w:t>
      </w:r>
      <w:r>
        <w:t xml:space="preserve">United States New York City</w:t>
      </w:r>
      <w:r>
        <w:t xml:space="preserve">. This document is valid for a period of one hundred eighty (180) days from the date of issue. Unauthorized reproduction or distribution of this document is prohibited.</w:t>
      </w:r>
    </w:p>
    <w:p>
      <w:pPr>
        <w:pStyle w:val="BodyText"/>
      </w:pPr>
      <w:r>
        <w:t xml:space="preserve">© 2025 Meridian Financial Holdings,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United States New York City</dc:title>
  <dc:creator/>
  <dc:language>en</dc:language>
  <cp:keywords/>
  <dcterms:created xsi:type="dcterms:W3CDTF">2026-10-10T06:31:36Z</dcterms:created>
  <dcterms:modified xsi:type="dcterms:W3CDTF">2026-10-10T06:31:36Z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