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Baker</w:t>
      </w:r>
      <w:r>
        <w:t xml:space="preserve"> </w:t>
      </w:r>
      <w:r>
        <w:t xml:space="preserve">Pty</w:t>
      </w:r>
      <w:r>
        <w:t xml:space="preserve"> </w:t>
      </w:r>
      <w:r>
        <w:t xml:space="preserve">Ltd</w:t>
      </w:r>
      <w:r>
        <w:t xml:space="preserve"> </w:t>
      </w:r>
      <w:r>
        <w:t xml:space="preserve">-</w:t>
      </w:r>
      <w:r>
        <w:t xml:space="preserve"> </w:t>
      </w:r>
      <w:r>
        <w:t xml:space="preserve">Brisbane,</w:t>
      </w:r>
      <w:r>
        <w:t xml:space="preserve"> </w:t>
      </w:r>
      <w:r>
        <w:t xml:space="preserve">Australia</w:t>
      </w:r>
    </w:p>
    <w:bookmarkStart w:id="20" w:name="purchase-order"/>
    <w:p>
      <w:pPr>
        <w:pStyle w:val="Heading1"/>
      </w:pPr>
      <w:r>
        <w:t xml:space="preserve">PURCHASE ORDER</w:t>
      </w:r>
    </w:p>
    <w:p>
      <w:pPr>
        <w:pStyle w:val="FirstParagraph"/>
      </w:pPr>
      <w:r>
        <w:t xml:space="preserve">PO-2025-04782</w:t>
      </w:r>
    </w:p>
    <w:p>
      <w:pPr>
        <w:pStyle w:val="BodyText"/>
      </w:pPr>
      <w:r>
        <w:t xml:space="preserve">Issued in Brisbane, Queensland, Australia</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No.:</w:t>
            </w:r>
          </w:p>
        </w:tc>
        <w:tc>
          <w:tcPr/>
          <w:p>
            <w:pPr>
              <w:pStyle w:val="Compact"/>
              <w:jc w:val="left"/>
            </w:pPr>
            <w:r>
              <w:t xml:space="preserve">PO-2025-04782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Date:</w:t>
            </w:r>
          </w:p>
        </w:tc>
        <w:tc>
          <w:tcPr/>
          <w:p>
            <w:pPr>
              <w:pStyle w:val="Compact"/>
              <w:jc w:val="left"/>
            </w:pPr>
            <w:r>
              <w:t xml:space="preserve">28 June 2025</w:t>
            </w:r>
          </w:p>
        </w:tc>
      </w:tr>
      <w:tr>
        <w:tc>
          <w:tcPr/>
          <w:p>
            <w:pPr>
              <w:pStyle w:val="Compact"/>
              <w:jc w:val="left"/>
            </w:pPr>
            <w:r>
              <w:t xml:space="preserve">Payment Terms:</w:t>
            </w:r>
          </w:p>
        </w:tc>
        <w:tc>
          <w:tcPr/>
          <w:p>
            <w:pPr>
              <w:pStyle w:val="Compact"/>
              <w:jc w:val="left"/>
            </w:pPr>
            <w:r>
              <w:t xml:space="preserve">Net 30 days from invoice date</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Valid Until:</w:t>
            </w:r>
          </w:p>
        </w:tc>
        <w:tc>
          <w:tcPr/>
          <w:p>
            <w:pPr>
              <w:pStyle w:val="Compact"/>
              <w:jc w:val="left"/>
            </w:pPr>
            <w:r>
              <w:t xml:space="preserve">14 July 2025</w:t>
            </w:r>
          </w:p>
        </w:tc>
      </w:tr>
      <w:tr>
        <w:tc>
          <w:tcPr/>
          <w:p>
            <w:pPr>
              <w:pStyle w:val="Compact"/>
              <w:jc w:val="left"/>
            </w:pPr>
            <w:r>
              <w:t xml:space="preserve">Currency:</w:t>
            </w:r>
          </w:p>
        </w:tc>
        <w:tc>
          <w:tcPr/>
          <w:p>
            <w:pPr>
              <w:pStyle w:val="Compact"/>
              <w:jc w:val="left"/>
            </w:pPr>
            <w:r>
              <w:t xml:space="preserve">Australian Dollar (AUD)</w:t>
            </w:r>
          </w:p>
        </w:tc>
      </w:tr>
      <w:tr>
        <w:tc>
          <w:tcPr/>
          <w:p>
            <w:pPr>
              <w:pStyle w:val="Compact"/>
              <w:jc w:val="left"/>
            </w:pPr>
            <w:r>
              <w:t xml:space="preserve">Incoterms:</w:t>
            </w:r>
          </w:p>
        </w:tc>
        <w:tc>
          <w:tcPr/>
          <w:p>
            <w:pPr>
              <w:pStyle w:val="Compact"/>
              <w:jc w:val="left"/>
            </w:pPr>
            <w:r>
              <w:t xml:space="preserve">DDP Brisbane, Australia</w:t>
            </w:r>
          </w:p>
        </w:tc>
      </w:tr>
      <w:tr>
        <w:tc>
          <w:tcPr/>
          <w:p>
            <w:pPr>
              <w:pStyle w:val="Compact"/>
              <w:jc w:val="left"/>
            </w:pPr>
            <w:r>
              <w:t xml:space="preserve">Reference:</w:t>
            </w:r>
          </w:p>
        </w:tc>
        <w:tc>
          <w:tcPr/>
          <w:p>
            <w:pPr>
              <w:pStyle w:val="Compact"/>
              <w:jc w:val="left"/>
            </w:pPr>
            <w:r>
              <w:t xml:space="preserve">Baker-Q2-2025-Procurement</w:t>
            </w:r>
          </w:p>
        </w:tc>
      </w:tr>
    </w:tbl>
    <w:bookmarkStart w:id="21" w:name="buyer-purchasing-entity"/>
    <w:p>
      <w:pPr>
        <w:pStyle w:val="Heading3"/>
      </w:pPr>
      <w:r>
        <w:t xml:space="preserve">BUYER (Purchasing Entity)</w:t>
      </w:r>
    </w:p>
    <w:p>
      <w:pPr>
        <w:pStyle w:val="FirstParagraph"/>
      </w:pPr>
      <w:r>
        <w:rPr>
          <w:bCs/>
          <w:b/>
        </w:rPr>
        <w:t xml:space="preserve">Meridian Construction Group Pty Ltd</w:t>
      </w:r>
    </w:p>
    <w:p>
      <w:pPr>
        <w:pStyle w:val="BodyText"/>
      </w:pPr>
      <w:r>
        <w:t xml:space="preserve">ABN: 54 123 456 789</w:t>
      </w:r>
    </w:p>
    <w:p>
      <w:pPr>
        <w:pStyle w:val="BodyText"/>
      </w:pPr>
      <w:r>
        <w:t xml:space="preserve">Level 12, 400 George Street</w:t>
      </w:r>
    </w:p>
    <w:p>
      <w:pPr>
        <w:pStyle w:val="BodyText"/>
      </w:pPr>
      <w:r>
        <w:t xml:space="preserve">Brisbane, Queensland 4000</w:t>
      </w:r>
    </w:p>
    <w:p>
      <w:pPr>
        <w:pStyle w:val="BodyText"/>
      </w:pPr>
      <w:r>
        <w:t xml:space="preserve">Australia</w:t>
      </w:r>
    </w:p>
    <w:p>
      <w:pPr>
        <w:pStyle w:val="BodyText"/>
      </w:pPr>
      <w:r>
        <w:t xml:space="preserve">Phone: +61 7 3210 4500</w:t>
      </w:r>
    </w:p>
    <w:p>
      <w:pPr>
        <w:pStyle w:val="BodyText"/>
      </w:pPr>
      <w:r>
        <w:t xml:space="preserve">Email: procurement@meridiancg.com.au</w:t>
      </w:r>
    </w:p>
    <w:p>
      <w:pPr>
        <w:pStyle w:val="BodyText"/>
      </w:pPr>
      <w:r>
        <w:t xml:space="preserve">Attn: Sarah Whitfield, Procurement Manager</w:t>
      </w:r>
    </w:p>
    <w:bookmarkEnd w:id="21"/>
    <w:bookmarkStart w:id="22" w:name="seller-supplier"/>
    <w:p>
      <w:pPr>
        <w:pStyle w:val="Heading3"/>
      </w:pPr>
      <w:r>
        <w:t xml:space="preserve">SELLER / SUPPLIER</w:t>
      </w:r>
    </w:p>
    <w:p>
      <w:pPr>
        <w:pStyle w:val="FirstParagraph"/>
      </w:pPr>
      <w:r>
        <w:rPr>
          <w:bCs/>
          <w:b/>
        </w:rPr>
        <w:t xml:space="preserve">Baker Industrial Supplies Pty Ltd</w:t>
      </w:r>
    </w:p>
    <w:p>
      <w:pPr>
        <w:pStyle w:val="BodyText"/>
      </w:pPr>
      <w:r>
        <w:t xml:space="preserve">ABN: 87 987 654 321</w:t>
      </w:r>
    </w:p>
    <w:p>
      <w:pPr>
        <w:pStyle w:val="BodyText"/>
      </w:pPr>
      <w:r>
        <w:t xml:space="preserve">Unit 5, 188 Eagle Street</w:t>
      </w:r>
    </w:p>
    <w:p>
      <w:pPr>
        <w:pStyle w:val="BodyText"/>
      </w:pPr>
      <w:r>
        <w:t xml:space="preserve">Brisbane, Queensland 4000</w:t>
      </w:r>
    </w:p>
    <w:p>
      <w:pPr>
        <w:pStyle w:val="BodyText"/>
      </w:pPr>
      <w:r>
        <w:t xml:space="preserve">Australia</w:t>
      </w:r>
    </w:p>
    <w:p>
      <w:pPr>
        <w:pStyle w:val="BodyText"/>
      </w:pPr>
      <w:r>
        <w:t xml:space="preserve">Phone: +61 7 3100 2200</w:t>
      </w:r>
    </w:p>
    <w:p>
      <w:pPr>
        <w:pStyle w:val="BodyText"/>
      </w:pPr>
      <w:r>
        <w:t xml:space="preserve">Email: sales@bakerindustrial.com.au</w:t>
      </w:r>
    </w:p>
    <w:p>
      <w:pPr>
        <w:pStyle w:val="BodyText"/>
      </w:pPr>
      <w:r>
        <w:t xml:space="preserve">Attn: David Baker, Sales Director</w:t>
      </w:r>
    </w:p>
    <w:bookmarkEnd w:id="22"/>
    <w:p>
      <w:pPr>
        <w:pStyle w:val="BodyText"/>
      </w:pPr>
      <w:r>
        <w:t xml:space="preserve">ORDER DETAILS &amp; LINE ITEMS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SKU / Part No.</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(AUD)</w:t>
            </w:r>
          </w:p>
        </w:tc>
        <w:tc>
          <w:tcPr/>
          <w:p>
            <w:pPr>
              <w:pStyle w:val="Compact"/>
              <w:jc w:val="left"/>
            </w:pPr>
            <w:r>
              <w:t xml:space="preserve">Line Total (AUD)</w:t>
            </w:r>
          </w:p>
        </w:tc>
      </w:tr>
      <w:tr>
        <w:tc>
          <w:tcPr/>
          <w:p>
            <w:pPr>
              <w:pStyle w:val="Compact"/>
              <w:jc w:val="left"/>
            </w:pPr>
            <w:r>
              <w:t xml:space="preserve">1</w:t>
            </w:r>
          </w:p>
        </w:tc>
        <w:tc>
          <w:tcPr/>
          <w:p>
            <w:pPr>
              <w:pStyle w:val="Compact"/>
              <w:jc w:val="left"/>
            </w:pPr>
            <w:r>
              <w:t xml:space="preserve">Heavy-Duty Steel Rebar, Grade 500N, 20mm diameter, 12m length (Baker Premium Line)</w:t>
            </w:r>
          </w:p>
        </w:tc>
        <w:tc>
          <w:tcPr/>
          <w:p>
            <w:pPr>
              <w:pStyle w:val="Compact"/>
              <w:jc w:val="left"/>
            </w:pPr>
            <w:r>
              <w:t xml:space="preserve">BAK-RB-20-12</w:t>
            </w:r>
          </w:p>
        </w:tc>
        <w:tc>
          <w:tcPr/>
          <w:p>
            <w:pPr>
              <w:pStyle w:val="Compact"/>
              <w:jc w:val="left"/>
            </w:pPr>
            <w:r>
              <w:t xml:space="preserve">500</w:t>
            </w:r>
          </w:p>
        </w:tc>
        <w:tc>
          <w:tcPr/>
          <w:p>
            <w:pPr>
              <w:pStyle w:val="Compact"/>
              <w:jc w:val="left"/>
            </w:pPr>
            <w:r>
              <w:t xml:space="preserve">pcs</w:t>
            </w:r>
          </w:p>
        </w:tc>
        <w:tc>
          <w:tcPr/>
          <w:p>
            <w:pPr>
              <w:pStyle w:val="Compact"/>
              <w:jc w:val="left"/>
            </w:pPr>
            <w:r>
              <w:t xml:space="preserve">$42.50</w:t>
            </w:r>
          </w:p>
        </w:tc>
        <w:tc>
          <w:tcPr/>
          <w:p>
            <w:pPr>
              <w:pStyle w:val="Compact"/>
              <w:jc w:val="left"/>
            </w:pPr>
            <w:r>
              <w:t xml:space="preserve">$21,250.00</w:t>
            </w:r>
          </w:p>
        </w:tc>
      </w:tr>
      <w:tr>
        <w:tc>
          <w:tcPr/>
          <w:p>
            <w:pPr>
              <w:pStyle w:val="Compact"/>
              <w:jc w:val="left"/>
            </w:pPr>
            <w:r>
              <w:t xml:space="preserve">2</w:t>
            </w:r>
          </w:p>
        </w:tc>
        <w:tc>
          <w:tcPr/>
          <w:p>
            <w:pPr>
              <w:pStyle w:val="Compact"/>
              <w:jc w:val="left"/>
            </w:pPr>
            <w:r>
              <w:t xml:space="preserve">Structural Concrete Mix, 32 MPa, Ready-Mix (Baker Batch System)</w:t>
            </w:r>
          </w:p>
        </w:tc>
        <w:tc>
          <w:tcPr/>
          <w:p>
            <w:pPr>
              <w:pStyle w:val="Compact"/>
              <w:jc w:val="left"/>
            </w:pPr>
            <w:r>
              <w:t xml:space="preserve">BAK-CC-32</w:t>
            </w:r>
          </w:p>
        </w:tc>
        <w:tc>
          <w:tcPr/>
          <w:p>
            <w:pPr>
              <w:pStyle w:val="Compact"/>
              <w:jc w:val="left"/>
            </w:pPr>
            <w:r>
              <w:t xml:space="preserve">120</w:t>
            </w:r>
          </w:p>
        </w:tc>
        <w:tc>
          <w:tcPr/>
          <w:p>
            <w:pPr>
              <w:pStyle w:val="Compact"/>
              <w:jc w:val="left"/>
            </w:pPr>
            <w:r>
              <w:t xml:space="preserve">m³</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3</w:t>
            </w:r>
          </w:p>
        </w:tc>
        <w:tc>
          <w:tcPr/>
          <w:p>
            <w:pPr>
              <w:pStyle w:val="Compact"/>
              <w:jc w:val="left"/>
            </w:pPr>
            <w:r>
              <w:t xml:space="preserve">Galvanised Steel Formwork Panels, 2400mm x 1200mm (Baker FormPro Series)</w:t>
            </w:r>
          </w:p>
        </w:tc>
        <w:tc>
          <w:tcPr/>
          <w:p>
            <w:pPr>
              <w:pStyle w:val="Compact"/>
              <w:jc w:val="left"/>
            </w:pPr>
            <w:r>
              <w:t xml:space="preserve">BAK-FW-2412</w:t>
            </w:r>
          </w:p>
        </w:tc>
        <w:tc>
          <w:tcPr/>
          <w:p>
            <w:pPr>
              <w:pStyle w:val="Compact"/>
              <w:jc w:val="left"/>
            </w:pPr>
            <w:r>
              <w:t xml:space="preserve">80</w:t>
            </w:r>
          </w:p>
        </w:tc>
        <w:tc>
          <w:tcPr/>
          <w:p>
            <w:pPr>
              <w:pStyle w:val="Compact"/>
              <w:jc w:val="left"/>
            </w:pPr>
            <w:r>
              <w:t xml:space="preserve">pcs</w:t>
            </w:r>
          </w:p>
        </w:tc>
        <w:tc>
          <w:tcPr/>
          <w:p>
            <w:pPr>
              <w:pStyle w:val="Compact"/>
              <w:jc w:val="left"/>
            </w:pPr>
            <w:r>
              <w:t xml:space="preserve">$310.00</w:t>
            </w:r>
          </w:p>
        </w:tc>
        <w:tc>
          <w:tcPr/>
          <w:p>
            <w:pPr>
              <w:pStyle w:val="Compact"/>
              <w:jc w:val="left"/>
            </w:pPr>
            <w:r>
              <w:t xml:space="preserve">$24,800.00</w:t>
            </w:r>
          </w:p>
        </w:tc>
      </w:tr>
      <w:tr>
        <w:tc>
          <w:tcPr/>
          <w:p>
            <w:pPr>
              <w:pStyle w:val="Compact"/>
              <w:jc w:val="left"/>
            </w:pPr>
            <w:r>
              <w:t xml:space="preserve">4</w:t>
            </w:r>
          </w:p>
        </w:tc>
        <w:tc>
          <w:tcPr/>
          <w:p>
            <w:pPr>
              <w:pStyle w:val="Compact"/>
              <w:jc w:val="left"/>
            </w:pPr>
            <w:r>
              <w:t xml:space="preserve">Waterproofing Membrane, Bituminous, 4mm thickness, 10m roll (Baker Shield)</w:t>
            </w:r>
          </w:p>
        </w:tc>
        <w:tc>
          <w:tcPr/>
          <w:p>
            <w:pPr>
              <w:pStyle w:val="Compact"/>
              <w:jc w:val="left"/>
            </w:pPr>
            <w:r>
              <w:t xml:space="preserve">BAK-WP-4MM</w:t>
            </w:r>
          </w:p>
        </w:tc>
        <w:tc>
          <w:tcPr/>
          <w:p>
            <w:pPr>
              <w:pStyle w:val="Compact"/>
              <w:jc w:val="left"/>
            </w:pPr>
            <w:r>
              <w:t xml:space="preserve">45</w:t>
            </w:r>
          </w:p>
        </w:tc>
        <w:tc>
          <w:tcPr/>
          <w:p>
            <w:pPr>
              <w:pStyle w:val="Compact"/>
              <w:jc w:val="left"/>
            </w:pPr>
            <w:r>
              <w:t xml:space="preserve">rolls</w:t>
            </w:r>
          </w:p>
        </w:tc>
        <w:tc>
          <w:tcPr/>
          <w:p>
            <w:pPr>
              <w:pStyle w:val="Compact"/>
              <w:jc w:val="left"/>
            </w:pPr>
            <w:r>
              <w:t xml:space="preserve">$620.00</w:t>
            </w:r>
          </w:p>
        </w:tc>
        <w:tc>
          <w:tcPr/>
          <w:p>
            <w:pPr>
              <w:pStyle w:val="Compact"/>
              <w:jc w:val="left"/>
            </w:pPr>
            <w:r>
              <w:t xml:space="preserve">$27,900.00</w:t>
            </w:r>
          </w:p>
        </w:tc>
      </w:tr>
      <w:tr>
        <w:tc>
          <w:tcPr/>
          <w:p>
            <w:pPr>
              <w:pStyle w:val="Compact"/>
              <w:jc w:val="left"/>
            </w:pPr>
            <w:r>
              <w:t xml:space="preserve">5</w:t>
            </w:r>
          </w:p>
        </w:tc>
        <w:tc>
          <w:tcPr/>
          <w:p>
            <w:pPr>
              <w:pStyle w:val="Compact"/>
              <w:jc w:val="left"/>
            </w:pPr>
            <w:r>
              <w:t xml:space="preserve">Reinforcement Wire Ties, 1.2mm, 5kg bundles (Baker TieMax)</w:t>
            </w:r>
          </w:p>
        </w:tc>
        <w:tc>
          <w:tcPr/>
          <w:p>
            <w:pPr>
              <w:pStyle w:val="Compact"/>
              <w:jc w:val="left"/>
            </w:pPr>
            <w:r>
              <w:t xml:space="preserve">BAK-TW-12</w:t>
            </w:r>
          </w:p>
        </w:tc>
        <w:tc>
          <w:tcPr/>
          <w:p>
            <w:pPr>
              <w:pStyle w:val="Compact"/>
              <w:jc w:val="left"/>
            </w:pPr>
            <w:r>
              <w:t xml:space="preserve">200</w:t>
            </w:r>
          </w:p>
        </w:tc>
        <w:tc>
          <w:tcPr/>
          <w:p>
            <w:pPr>
              <w:pStyle w:val="Compact"/>
              <w:jc w:val="left"/>
            </w:pPr>
            <w:r>
              <w:t xml:space="preserve">bundles</w:t>
            </w:r>
          </w:p>
        </w:tc>
        <w:tc>
          <w:tcPr/>
          <w:p>
            <w:pPr>
              <w:pStyle w:val="Compact"/>
              <w:jc w:val="left"/>
            </w:pPr>
            <w:r>
              <w:t xml:space="preserve">$18.75</w:t>
            </w:r>
          </w:p>
        </w:tc>
        <w:tc>
          <w:tcPr/>
          <w:p>
            <w:pPr>
              <w:pStyle w:val="Compact"/>
              <w:jc w:val="left"/>
            </w:pPr>
            <w:r>
              <w:t xml:space="preserve">$3,750.00</w:t>
            </w:r>
          </w:p>
        </w:tc>
      </w:tr>
      <w:tr>
        <w:tc>
          <w:tcPr/>
          <w:p>
            <w:pPr>
              <w:pStyle w:val="Compact"/>
              <w:jc w:val="left"/>
            </w:pPr>
            <w:r>
              <w:t xml:space="preserve">6</w:t>
            </w:r>
          </w:p>
        </w:tc>
        <w:tc>
          <w:tcPr/>
          <w:p>
            <w:pPr>
              <w:pStyle w:val="Compact"/>
              <w:jc w:val="left"/>
            </w:pPr>
            <w:r>
              <w:t xml:space="preserve">Construction Safety Harness, Full Body, AS/NZS 1891 Compliant (Baker SafeGuard)</w:t>
            </w:r>
          </w:p>
        </w:tc>
        <w:tc>
          <w:tcPr/>
          <w:p>
            <w:pPr>
              <w:pStyle w:val="Compact"/>
              <w:jc w:val="left"/>
            </w:pPr>
            <w:r>
              <w:t xml:space="preserve">BAK-SH-FB</w:t>
            </w:r>
          </w:p>
        </w:tc>
        <w:tc>
          <w:tcPr/>
          <w:p>
            <w:pPr>
              <w:pStyle w:val="Compact"/>
              <w:jc w:val="left"/>
            </w:pPr>
            <w:r>
              <w:t xml:space="preserve">60</w:t>
            </w:r>
          </w:p>
        </w:tc>
        <w:tc>
          <w:tcPr/>
          <w:p>
            <w:pPr>
              <w:pStyle w:val="Compact"/>
              <w:jc w:val="left"/>
            </w:pPr>
            <w:r>
              <w:t xml:space="preserve">pcs</w:t>
            </w:r>
          </w:p>
        </w:tc>
        <w:tc>
          <w:tcPr/>
          <w:p>
            <w:pPr>
              <w:pStyle w:val="Compact"/>
              <w:jc w:val="left"/>
            </w:pPr>
            <w:r>
              <w:t xml:space="preserve">$145.00</w:t>
            </w:r>
          </w:p>
        </w:tc>
        <w:tc>
          <w:tcPr/>
          <w:p>
            <w:pPr>
              <w:pStyle w:val="Compact"/>
              <w:jc w:val="left"/>
            </w:pPr>
            <w:r>
              <w:t xml:space="preserve">$8,700.00</w:t>
            </w:r>
          </w:p>
        </w:tc>
      </w:tr>
      <w:tr>
        <w:tc>
          <w:tcPr/>
          <w:p>
            <w:pPr>
              <w:pStyle w:val="Compact"/>
              <w:jc w:val="left"/>
            </w:pPr>
            <w:r>
              <w:t xml:space="preserve">7</w:t>
            </w:r>
          </w:p>
        </w:tc>
        <w:tc>
          <w:tcPr/>
          <w:p>
            <w:pPr>
              <w:pStyle w:val="Compact"/>
              <w:jc w:val="left"/>
            </w:pPr>
            <w:r>
              <w:t xml:space="preserve">Concrete Curing Compound, Acrylic, 20L pail (Baker CurePro)</w:t>
            </w:r>
          </w:p>
        </w:tc>
        <w:tc>
          <w:tcPr/>
          <w:p>
            <w:pPr>
              <w:pStyle w:val="Compact"/>
              <w:jc w:val="left"/>
            </w:pPr>
            <w:r>
              <w:t xml:space="preserve">BAK-CC-20L</w:t>
            </w:r>
          </w:p>
        </w:tc>
        <w:tc>
          <w:tcPr/>
          <w:p>
            <w:pPr>
              <w:pStyle w:val="Compact"/>
              <w:jc w:val="left"/>
            </w:pPr>
            <w:r>
              <w:t xml:space="preserve">35</w:t>
            </w:r>
          </w:p>
        </w:tc>
        <w:tc>
          <w:tcPr/>
          <w:p>
            <w:pPr>
              <w:pStyle w:val="Compact"/>
              <w:jc w:val="left"/>
            </w:pPr>
            <w:r>
              <w:t xml:space="preserve">pails</w:t>
            </w:r>
          </w:p>
        </w:tc>
        <w:tc>
          <w:tcPr/>
          <w:p>
            <w:pPr>
              <w:pStyle w:val="Compact"/>
              <w:jc w:val="left"/>
            </w:pPr>
            <w:r>
              <w:t xml:space="preserve">$98.00</w:t>
            </w:r>
          </w:p>
        </w:tc>
        <w:tc>
          <w:tcPr/>
          <w:p>
            <w:pPr>
              <w:pStyle w:val="Compact"/>
              <w:jc w:val="left"/>
            </w:pPr>
            <w:r>
              <w:t xml:space="preserve">$3,430.00</w:t>
            </w:r>
          </w:p>
        </w:tc>
      </w:tr>
      <w:tr>
        <w:tc>
          <w:tcPr/>
          <w:p>
            <w:pPr>
              <w:pStyle w:val="Compact"/>
              <w:jc w:val="left"/>
            </w:pPr>
            <w:r>
              <w:t xml:space="preserve">8</w:t>
            </w:r>
          </w:p>
        </w:tc>
        <w:tc>
          <w:tcPr/>
          <w:p>
            <w:pPr>
              <w:pStyle w:val="Compact"/>
              <w:jc w:val="left"/>
            </w:pPr>
            <w:r>
              <w:t xml:space="preserve">Site Lighting Tower, 4x500W LED, Mobile (Baker LightMax)</w:t>
            </w:r>
          </w:p>
        </w:tc>
        <w:tc>
          <w:tcPr/>
          <w:p>
            <w:pPr>
              <w:pStyle w:val="Compact"/>
              <w:jc w:val="left"/>
            </w:pPr>
            <w:r>
              <w:t xml:space="preserve">BAK-LT-4500</w:t>
            </w:r>
          </w:p>
        </w:tc>
        <w:tc>
          <w:tcPr/>
          <w:p>
            <w:pPr>
              <w:pStyle w:val="Compact"/>
              <w:jc w:val="left"/>
            </w:pPr>
            <w:r>
              <w:t xml:space="preserve">8</w:t>
            </w:r>
          </w:p>
        </w:tc>
        <w:tc>
          <w:tcPr/>
          <w:p>
            <w:pPr>
              <w:pStyle w:val="Compact"/>
              <w:jc w:val="left"/>
            </w:pPr>
            <w:r>
              <w:t xml:space="preserve">units</w:t>
            </w:r>
          </w:p>
        </w:tc>
        <w:tc>
          <w:tcPr/>
          <w:p>
            <w:pPr>
              <w:pStyle w:val="Compact"/>
              <w:jc w:val="left"/>
            </w:pPr>
            <w:r>
              <w:t xml:space="preserve">$2,850.00</w:t>
            </w:r>
          </w:p>
        </w:tc>
        <w:tc>
          <w:tcPr/>
          <w:p>
            <w:pPr>
              <w:pStyle w:val="Compact"/>
              <w:jc w:val="left"/>
            </w:pPr>
            <w:r>
              <w:t xml:space="preserve">$22,800.00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(AUD)</w:t>
            </w:r>
          </w:p>
        </w:tc>
        <w:tc>
          <w:tcPr/>
          <w:p>
            <w:pPr>
              <w:pStyle w:val="Compact"/>
              <w:jc w:val="right"/>
            </w:pPr>
            <w:r>
              <w:t xml:space="preserve">$134,830.00</w:t>
            </w:r>
          </w:p>
        </w:tc>
      </w:tr>
      <w:tr>
        <w:tc>
          <w:tcPr/>
          <w:p>
            <w:pPr>
              <w:pStyle w:val="Compact"/>
              <w:jc w:val="left"/>
            </w:pPr>
            <w:r>
              <w:t xml:space="preserve">GST (10%)</w:t>
            </w:r>
          </w:p>
        </w:tc>
        <w:tc>
          <w:tcPr/>
          <w:p>
            <w:pPr>
              <w:pStyle w:val="Compact"/>
              <w:jc w:val="right"/>
            </w:pPr>
            <w:r>
              <w:t xml:space="preserve">$13,483.00</w:t>
            </w:r>
          </w:p>
        </w:tc>
      </w:tr>
      <w:tr>
        <w:tc>
          <w:tcPr/>
          <w:p>
            <w:pPr>
              <w:pStyle w:val="Compact"/>
              <w:jc w:val="left"/>
            </w:pPr>
            <w:r>
              <w:t xml:space="preserve">Freight &amp; Delivery (Brisbane Metro)</w:t>
            </w:r>
          </w:p>
        </w:tc>
        <w:tc>
          <w:tcPr/>
          <w:p>
            <w:pPr>
              <w:pStyle w:val="Compact"/>
              <w:jc w:val="right"/>
            </w:pPr>
            <w:r>
              <w:t xml:space="preserve">$1,250.00</w:t>
            </w:r>
          </w:p>
        </w:tc>
      </w:tr>
      <w:tr>
        <w:tc>
          <w:tcPr/>
          <w:p>
            <w:pPr>
              <w:pStyle w:val="Compact"/>
              <w:jc w:val="left"/>
            </w:pPr>
            <w:r>
              <w:t xml:space="preserve">GRAND TOTAL (AUD)</w:t>
            </w:r>
          </w:p>
        </w:tc>
        <w:tc>
          <w:tcPr/>
          <w:p>
            <w:pPr>
              <w:pStyle w:val="Compact"/>
              <w:jc w:val="right"/>
            </w:pPr>
            <w:r>
              <w:t xml:space="preserve">$149,563.00</w:t>
            </w:r>
          </w:p>
        </w:tc>
      </w:tr>
    </w:tbl>
    <w:p>
      <w:pPr>
        <w:pStyle w:val="BodyText"/>
      </w:pPr>
      <w:r>
        <w:t xml:space="preserve">TERMS AND CONDITIONS</w:t>
      </w:r>
    </w:p>
    <w:p>
      <w:pPr>
        <w:numPr>
          <w:ilvl w:val="0"/>
          <w:numId w:val="1001"/>
        </w:numPr>
        <w:pStyle w:val="Compact"/>
      </w:pPr>
      <w:r>
        <w:t xml:space="preserve">This Purchase Order is issued by Meridian Construction Group Pty Ltd and constitutes a binding offer to purchase the goods listed above from Baker Industrial Supplies Pty Ltd, both entities registered in Brisbane, Queensland, Australia.</w:t>
      </w:r>
    </w:p>
    <w:p>
      <w:pPr>
        <w:numPr>
          <w:ilvl w:val="0"/>
          <w:numId w:val="1001"/>
        </w:numPr>
        <w:pStyle w:val="Compact"/>
      </w:pPr>
      <w:r>
        <w:t xml:space="preserve">All goods must comply with applicable Australian Standards (AS) and Australian/New Zealand Standards (AS/NZS) as specified in the line item descriptions. Baker warrants that all products supplied under this Purchase Order meet or exceed the relevant quality and safety standards mandated by the Queensland Building and Construction Commission (QBCC).</w:t>
      </w:r>
    </w:p>
    <w:p>
      <w:pPr>
        <w:numPr>
          <w:ilvl w:val="0"/>
          <w:numId w:val="1001"/>
        </w:numPr>
        <w:pStyle w:val="Compact"/>
      </w:pPr>
      <w:r>
        <w:t xml:space="preserve">Delivery shall be made to the project site located at 250 Creek Street, Brisbane, Queensland 4000, Australia, between the hours of 07:00 and 16:00 AEST on the Required Delivery Date. Baker shall bear all risk of loss or damage until the goods are delivered and signed for at the Brisbane site.</w:t>
      </w:r>
    </w:p>
    <w:p>
      <w:pPr>
        <w:numPr>
          <w:ilvl w:val="0"/>
          <w:numId w:val="1001"/>
        </w:numPr>
        <w:pStyle w:val="Compact"/>
      </w:pPr>
      <w:r>
        <w:t xml:space="preserve">Payment shall be made via electronic funds transfer (EFT) to the bank account nominated by Baker Industrial Supplies Pty Ltd within thirty (30) calendar days of receipt of a valid tax invoice. The tax invoice must include Baker's ABN, the Purchase Order number PO-2025-04782, and a detailed itemisation of all goods supplied.</w:t>
      </w:r>
    </w:p>
    <w:p>
      <w:pPr>
        <w:numPr>
          <w:ilvl w:val="0"/>
          <w:numId w:val="1001"/>
        </w:numPr>
        <w:pStyle w:val="Compact"/>
      </w:pPr>
      <w:r>
        <w:t xml:space="preserve">Baker shall provide a minimum of five (5) business days' written notice prior to dispatch. Any delay in delivery beyond the Required Delivery Date shall entitle the Buyer to claim liquidated damages at a rate of 0.5% of the total Purchase Order value per calendar day, up to a maximum of 10%.</w:t>
      </w:r>
    </w:p>
    <w:p>
      <w:pPr>
        <w:numPr>
          <w:ilvl w:val="0"/>
          <w:numId w:val="1001"/>
        </w:numPr>
        <w:pStyle w:val="Compact"/>
      </w:pPr>
      <w:r>
        <w:t xml:space="preserve">All goods are subject to inspection upon arrival at the Brisbane delivery point. The Buyer reserves the right to reject any items that do not conform to the specifications outlined in this Purchase Order. Rejected items must be replaced by Baker at no additional cost within seven (7) business days.</w:t>
      </w:r>
    </w:p>
    <w:p>
      <w:pPr>
        <w:numPr>
          <w:ilvl w:val="0"/>
          <w:numId w:val="1001"/>
        </w:numPr>
        <w:pStyle w:val="Compact"/>
      </w:pPr>
      <w:r>
        <w:t xml:space="preserve">This Purchase Order is governed by the laws of the State of Queensland and the Commonwealth of Australia. Any disputes arising from this Purchase Order shall be subject to the exclusive jurisdiction of the courts of Queensland, Australia, with venue in Brisbane.</w:t>
      </w:r>
    </w:p>
    <w:p>
      <w:pPr>
        <w:numPr>
          <w:ilvl w:val="0"/>
          <w:numId w:val="1001"/>
        </w:numPr>
        <w:pStyle w:val="Compact"/>
      </w:pPr>
      <w:r>
        <w:t xml:space="preserve">Baker shall maintain adequate public liability insurance (minimum AUD $20,000,000) and workers' compensation insurance throughout the duration of this Purchase Order and shall provide certificates of insurance upon request.</w:t>
      </w:r>
    </w:p>
    <w:p>
      <w:pPr>
        <w:numPr>
          <w:ilvl w:val="0"/>
          <w:numId w:val="1001"/>
        </w:numPr>
        <w:pStyle w:val="Compact"/>
      </w:pPr>
      <w:r>
        <w:t xml:space="preserve">Any amendments to this Purchase Order must be made in writing and signed by authorised representatives of both parties. No verbal modifications shall be binding.</w:t>
      </w:r>
    </w:p>
    <w:p>
      <w:pPr>
        <w:numPr>
          <w:ilvl w:val="0"/>
          <w:numId w:val="1001"/>
        </w:numPr>
        <w:pStyle w:val="Compact"/>
      </w:pPr>
      <w:r>
        <w:t xml:space="preserve">Baker acknowledges that this Purchase Order is part of a larger construction project in Brisbane and that timely and accurate delivery is critical to the project schedule. Baker agrees to coordinate delivery logistics with the Buyer's site manager to minimise disruption to ongoing operations.</w:t>
      </w:r>
    </w:p>
    <w:p>
      <w:pPr>
        <w:pStyle w:val="FirstParagraph"/>
      </w:pPr>
      <w:r>
        <w:t xml:space="preserve">AUTHORISATION &amp; ACCEPTANCE</w:t>
      </w:r>
    </w:p>
    <w:p>
      <w:pPr>
        <w:pStyle w:val="BodyText"/>
      </w:pPr>
      <w:r>
        <w:rPr>
          <w:bCs/>
          <w:b/>
        </w:rPr>
        <w:t xml:space="preserve">For and on behalf of the Buyer:</w:t>
      </w:r>
    </w:p>
    <w:p>
      <w:pPr>
        <w:pStyle w:val="BodyText"/>
      </w:pPr>
      <w:r>
        <w:t xml:space="preserve">Meridian Construction Group Pty Ltd</w:t>
      </w:r>
    </w:p>
    <w:p>
      <w:pPr>
        <w:pStyle w:val="BodyText"/>
      </w:pPr>
      <w:r>
        <w:t xml:space="preserve">Name: Sarah Whitfield</w:t>
      </w:r>
    </w:p>
    <w:p>
      <w:pPr>
        <w:pStyle w:val="BodyText"/>
      </w:pPr>
      <w:r>
        <w:t xml:space="preserve">Title: Procurement Manager</w:t>
      </w:r>
    </w:p>
    <w:p>
      <w:pPr>
        <w:pStyle w:val="BodyText"/>
      </w:pPr>
      <w:r>
        <w:t xml:space="preserve">Date: 14 June 2025</w:t>
      </w:r>
    </w:p>
    <w:p>
      <w:pPr>
        <w:pStyle w:val="BodyText"/>
      </w:pPr>
      <w:r>
        <w:rPr>
          <w:bCs/>
          <w:b/>
        </w:rPr>
        <w:t xml:space="preserve">For and on behalf of the Seller:</w:t>
      </w:r>
    </w:p>
    <w:p>
      <w:pPr>
        <w:pStyle w:val="BodyText"/>
      </w:pPr>
      <w:r>
        <w:t xml:space="preserve">Baker Industrial Supplies Pty Ltd</w:t>
      </w:r>
    </w:p>
    <w:p>
      <w:pPr>
        <w:pStyle w:val="BodyText"/>
      </w:pPr>
      <w:r>
        <w:t xml:space="preserve">Name: David Baker</w:t>
      </w:r>
    </w:p>
    <w:p>
      <w:pPr>
        <w:pStyle w:val="BodyText"/>
      </w:pPr>
      <w:r>
        <w:t xml:space="preserve">Title: Sales Director</w:t>
      </w:r>
    </w:p>
    <w:p>
      <w:pPr>
        <w:pStyle w:val="BodyText"/>
      </w:pPr>
      <w:r>
        <w:t xml:space="preserve">Date: _______________</w:t>
      </w:r>
    </w:p>
    <w:p>
      <w:pPr>
        <w:pStyle w:val="BodyText"/>
      </w:pPr>
      <w:r>
        <w:t xml:space="preserve">This Purchase Order was prepared and issued in Brisbane, Queensland, Australia. All references to "Baker" in this document refer to Baker Industrial Supplies Pty Ltd, ABN 87 987 654 321, a company registered in Australia. This document is valid only for the transaction described herein and does not constitute a general supply agreement. For queries regarding this Purchase Order, contact the Buyer's procurement department at procurement@meridiancg.com.au or the Seller at sales@bakerindustrial.com.au. © 2025 Meridian Construction Group Pty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Baker Pty Ltd - Brisbane, Australia</dc:title>
  <dc:creator/>
  <dc:language>en</dc:language>
  <cp:keywords/>
  <dcterms:created xsi:type="dcterms:W3CDTF">2026-10-10T03:38:18Z</dcterms:created>
  <dcterms:modified xsi:type="dcterms:W3CDTF">2026-10-10T03:38:18Z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