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Official Purchase Order Document — Baker Pty Ltd — Australia Melbourne</w:t>
      </w:r>
    </w:p>
    <w:p>
      <w:pPr>
        <w:pStyle w:val="BodyText"/>
      </w:pPr>
      <w:r>
        <w:t xml:space="preserve">This Purchase Order is issued in accordance with the Australian Consumer Law and applicable Victorian commercial regulations.</w:t>
      </w:r>
    </w:p>
    <w:bookmarkEnd w:id="20"/>
    <w:p>
      <w:pPr>
        <w:pStyle w:val="BodyText"/>
      </w:pPr>
      <w:r>
        <w:rPr>
          <w:bCs/>
          <w:b/>
        </w:rPr>
        <w:t xml:space="preserve">Purchase Order No.:</w:t>
      </w:r>
      <w:r>
        <w:t xml:space="preserve"> </w:t>
      </w:r>
      <w:r>
        <w:t xml:space="preserve">PO-2025-AUM-04782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w:t>
      </w:r>
      <w:r>
        <w:t xml:space="preserve"> </w:t>
      </w:r>
      <w:r>
        <w:t xml:space="preserve">Baker Pty Ltd</w:t>
      </w:r>
      <w:r>
        <w:br/>
      </w:r>
      <w:r>
        <w:rPr>
          <w:bCs/>
          <w:b/>
        </w:rPr>
        <w:t xml:space="preserve">ABN:</w:t>
      </w:r>
      <w:r>
        <w:t xml:space="preserve"> </w:t>
      </w:r>
      <w:r>
        <w:t xml:space="preserve">52 847 391 062</w:t>
      </w:r>
      <w:r>
        <w:br/>
      </w:r>
      <w:r>
        <w:rPr>
          <w:bCs/>
          <w:b/>
        </w:rPr>
        <w:t xml:space="preserve">Location:</w:t>
      </w:r>
      <w:r>
        <w:t xml:space="preserve"> </w:t>
      </w:r>
      <w:r>
        <w:t xml:space="preserve">Australia Melbourne</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Supplier (Baker Pty Ltd)</w:t>
            </w:r>
          </w:p>
        </w:tc>
      </w:tr>
      <w:tr>
        <w:tc>
          <w:tcPr/>
          <w:p>
            <w:pPr>
              <w:pStyle w:val="Compact"/>
              <w:jc w:val="left"/>
            </w:pPr>
            <w:r>
              <w:rPr>
                <w:bCs/>
                <w:b/>
              </w:rPr>
              <w:t xml:space="preserve">Company Name</w:t>
            </w:r>
          </w:p>
        </w:tc>
        <w:tc>
          <w:tcPr/>
          <w:p>
            <w:pPr>
              <w:pStyle w:val="Compact"/>
              <w:jc w:val="left"/>
            </w:pPr>
            <w:r>
              <w:t xml:space="preserve">Yarra Valley Hospitality Group Pty Ltd</w:t>
            </w:r>
          </w:p>
        </w:tc>
        <w:tc>
          <w:tcPr/>
          <w:p>
            <w:pPr>
              <w:pStyle w:val="Compact"/>
              <w:jc w:val="left"/>
            </w:pPr>
            <w:r>
              <w:t xml:space="preserve">Baker Pty Ltd</w:t>
            </w:r>
          </w:p>
        </w:tc>
      </w:tr>
      <w:tr>
        <w:tc>
          <w:tcPr/>
          <w:p>
            <w:pPr>
              <w:pStyle w:val="Compact"/>
              <w:jc w:val="left"/>
            </w:pPr>
            <w:r>
              <w:rPr>
                <w:bCs/>
                <w:b/>
              </w:rPr>
              <w:t xml:space="preserve">Address</w:t>
            </w:r>
          </w:p>
        </w:tc>
        <w:tc>
          <w:tcPr/>
          <w:p>
            <w:pPr>
              <w:pStyle w:val="Compact"/>
              <w:jc w:val="left"/>
            </w:pPr>
            <w:r>
              <w:t xml:space="preserve">42 Collins Street, Melbourne VIC 3000, Australia</w:t>
            </w:r>
          </w:p>
        </w:tc>
        <w:tc>
          <w:tcPr/>
          <w:p>
            <w:pPr>
              <w:pStyle w:val="Compact"/>
              <w:jc w:val="left"/>
            </w:pPr>
            <w:r>
              <w:t xml:space="preserve">18 Lonsdale Street, Richmond, Australia Melbourne VIC 3121</w:t>
            </w:r>
          </w:p>
        </w:tc>
      </w:tr>
      <w:tr>
        <w:tc>
          <w:tcPr/>
          <w:p>
            <w:pPr>
              <w:pStyle w:val="Compact"/>
              <w:jc w:val="left"/>
            </w:pPr>
            <w:r>
              <w:rPr>
                <w:bCs/>
                <w:b/>
              </w:rPr>
              <w:t xml:space="preserve">Contact Person</w:t>
            </w:r>
          </w:p>
        </w:tc>
        <w:tc>
          <w:tcPr/>
          <w:p>
            <w:pPr>
              <w:pStyle w:val="Compact"/>
              <w:jc w:val="left"/>
            </w:pPr>
            <w:r>
              <w:t xml:space="preserve">Ms. Eleanor Whitfield, Procurement Manager</w:t>
            </w:r>
          </w:p>
        </w:tc>
        <w:tc>
          <w:tcPr/>
          <w:p>
            <w:pPr>
              <w:pStyle w:val="Compact"/>
              <w:jc w:val="left"/>
            </w:pPr>
            <w:r>
              <w:t xml:space="preserve">Mr. James Baker, Director &amp; Head of Operations</w:t>
            </w:r>
          </w:p>
        </w:tc>
      </w:tr>
      <w:tr>
        <w:tc>
          <w:tcPr/>
          <w:p>
            <w:pPr>
              <w:pStyle w:val="Compact"/>
              <w:jc w:val="left"/>
            </w:pPr>
            <w:r>
              <w:rPr>
                <w:bCs/>
                <w:b/>
              </w:rPr>
              <w:t xml:space="preserve">Email</w:t>
            </w:r>
          </w:p>
        </w:tc>
        <w:tc>
          <w:tcPr/>
          <w:p>
            <w:pPr>
              <w:pStyle w:val="Compact"/>
              <w:jc w:val="left"/>
            </w:pPr>
            <w:r>
              <w:t xml:space="preserve">procurement@yarravalleyhosp.com.au</w:t>
            </w:r>
          </w:p>
        </w:tc>
        <w:tc>
          <w:tcPr/>
          <w:p>
            <w:pPr>
              <w:pStyle w:val="Compact"/>
              <w:jc w:val="left"/>
            </w:pPr>
            <w:r>
              <w:t xml:space="preserve">orders@bakerpty.com.au</w:t>
            </w:r>
          </w:p>
        </w:tc>
      </w:tr>
      <w:tr>
        <w:tc>
          <w:tcPr/>
          <w:p>
            <w:pPr>
              <w:pStyle w:val="Compact"/>
              <w:jc w:val="left"/>
            </w:pPr>
            <w:r>
              <w:rPr>
                <w:bCs/>
                <w:b/>
              </w:rPr>
              <w:t xml:space="preserve">Phone</w:t>
            </w:r>
          </w:p>
        </w:tc>
        <w:tc>
          <w:tcPr/>
          <w:p>
            <w:pPr>
              <w:pStyle w:val="Compact"/>
              <w:jc w:val="left"/>
            </w:pPr>
            <w:r>
              <w:t xml:space="preserve">+61 3 9421 5500</w:t>
            </w:r>
          </w:p>
        </w:tc>
        <w:tc>
          <w:tcPr/>
          <w:p>
            <w:pPr>
              <w:pStyle w:val="Compact"/>
              <w:jc w:val="left"/>
            </w:pPr>
            <w:r>
              <w:t xml:space="preserve">+61 3 9429 7733</w:t>
            </w:r>
          </w:p>
        </w:tc>
      </w:tr>
      <w:tr>
        <w:tc>
          <w:tcPr/>
          <w:p>
            <w:pPr>
              <w:pStyle w:val="Compact"/>
              <w:jc w:val="left"/>
            </w:pPr>
            <w:r>
              <w:rPr>
                <w:bCs/>
                <w:b/>
              </w:rPr>
              <w:t xml:space="preserve">ABN / ACN</w:t>
            </w:r>
          </w:p>
        </w:tc>
        <w:tc>
          <w:tcPr/>
          <w:p>
            <w:pPr>
              <w:pStyle w:val="Compact"/>
              <w:jc w:val="left"/>
            </w:pPr>
            <w:r>
              <w:t xml:space="preserve">ABN 74 612 883 441</w:t>
            </w:r>
          </w:p>
        </w:tc>
        <w:tc>
          <w:tcPr/>
          <w:p>
            <w:pPr>
              <w:pStyle w:val="Compact"/>
              <w:jc w:val="left"/>
            </w:pPr>
            <w:r>
              <w:t xml:space="preserve">ABN 52 847 391 062</w:t>
            </w:r>
          </w:p>
        </w:tc>
      </w:tr>
    </w:tbl>
    <w:p>
      <w:pPr>
        <w:pStyle w:val="BodyText"/>
      </w:pPr>
      <w:r>
        <w:t xml:space="preserve">2. PURCHASE ORDER LINE ITEMS — BAKER SUPPLIES &amp; PRODUCTS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Premium Australian Wheat Flour (Stone-Ground), 25 kg bags — Baker Signature Blend</w:t>
            </w:r>
          </w:p>
        </w:tc>
        <w:tc>
          <w:tcPr/>
          <w:p>
            <w:pPr>
              <w:pStyle w:val="Compact"/>
              <w:jc w:val="left"/>
            </w:pPr>
            <w:r>
              <w:t xml:space="preserve">BAK-FLR-001</w:t>
            </w:r>
          </w:p>
        </w:tc>
        <w:tc>
          <w:tcPr/>
          <w:p>
            <w:pPr>
              <w:pStyle w:val="Compact"/>
              <w:jc w:val="left"/>
            </w:pPr>
            <w:r>
              <w:t xml:space="preserve">120</w:t>
            </w:r>
          </w:p>
        </w:tc>
        <w:tc>
          <w:tcPr/>
          <w:p>
            <w:pPr>
              <w:pStyle w:val="Compact"/>
              <w:jc w:val="left"/>
            </w:pPr>
            <w:r>
              <w:t xml:space="preserve">bags</w:t>
            </w:r>
          </w:p>
        </w:tc>
        <w:tc>
          <w:tcPr/>
          <w:p>
            <w:pPr>
              <w:pStyle w:val="Compact"/>
              <w:jc w:val="left"/>
            </w:pPr>
            <w:r>
              <w:t xml:space="preserve">$42.50</w:t>
            </w:r>
          </w:p>
        </w:tc>
        <w:tc>
          <w:tcPr/>
          <w:p>
            <w:pPr>
              <w:pStyle w:val="Compact"/>
              <w:jc w:val="left"/>
            </w:pPr>
            <w:r>
              <w:t xml:space="preserve">$5,100.00</w:t>
            </w:r>
          </w:p>
        </w:tc>
      </w:tr>
      <w:tr>
        <w:tc>
          <w:tcPr/>
          <w:p>
            <w:pPr>
              <w:pStyle w:val="Compact"/>
              <w:jc w:val="left"/>
            </w:pPr>
            <w:r>
              <w:t xml:space="preserve">02</w:t>
            </w:r>
          </w:p>
        </w:tc>
        <w:tc>
          <w:tcPr/>
          <w:p>
            <w:pPr>
              <w:pStyle w:val="Compact"/>
              <w:jc w:val="left"/>
            </w:pPr>
            <w:r>
              <w:t xml:space="preserve">Organic Australian Butter (82% Fat), 5 kg blocks — Baker Dairy Range</w:t>
            </w:r>
          </w:p>
        </w:tc>
        <w:tc>
          <w:tcPr/>
          <w:p>
            <w:pPr>
              <w:pStyle w:val="Compact"/>
              <w:jc w:val="left"/>
            </w:pPr>
            <w:r>
              <w:t xml:space="preserve">BAK-BTR-014</w:t>
            </w:r>
          </w:p>
        </w:tc>
        <w:tc>
          <w:tcPr/>
          <w:p>
            <w:pPr>
              <w:pStyle w:val="Compact"/>
              <w:jc w:val="left"/>
            </w:pPr>
            <w:r>
              <w:t xml:space="preserve">60</w:t>
            </w:r>
          </w:p>
        </w:tc>
        <w:tc>
          <w:tcPr/>
          <w:p>
            <w:pPr>
              <w:pStyle w:val="Compact"/>
              <w:jc w:val="left"/>
            </w:pPr>
            <w:r>
              <w:t xml:space="preserve">blocks</w:t>
            </w:r>
          </w:p>
        </w:tc>
        <w:tc>
          <w:tcPr/>
          <w:p>
            <w:pPr>
              <w:pStyle w:val="Compact"/>
              <w:jc w:val="left"/>
            </w:pPr>
            <w:r>
              <w:t xml:space="preserve">$98.00</w:t>
            </w:r>
          </w:p>
        </w:tc>
        <w:tc>
          <w:tcPr/>
          <w:p>
            <w:pPr>
              <w:pStyle w:val="Compact"/>
              <w:jc w:val="left"/>
            </w:pPr>
            <w:r>
              <w:t xml:space="preserve">$5,880.00</w:t>
            </w:r>
          </w:p>
        </w:tc>
      </w:tr>
      <w:tr>
        <w:tc>
          <w:tcPr/>
          <w:p>
            <w:pPr>
              <w:pStyle w:val="Compact"/>
              <w:jc w:val="left"/>
            </w:pPr>
            <w:r>
              <w:t xml:space="preserve">03</w:t>
            </w:r>
          </w:p>
        </w:tc>
        <w:tc>
          <w:tcPr/>
          <w:p>
            <w:pPr>
              <w:pStyle w:val="Compact"/>
              <w:jc w:val="left"/>
            </w:pPr>
            <w:r>
              <w:t xml:space="preserve">Professional Deck Oven (Gas-Fired, 4-Deck) — Baker Commercial Series</w:t>
            </w:r>
          </w:p>
        </w:tc>
        <w:tc>
          <w:tcPr/>
          <w:p>
            <w:pPr>
              <w:pStyle w:val="Compact"/>
              <w:jc w:val="left"/>
            </w:pPr>
            <w:r>
              <w:t xml:space="preserve">BAK-OVN-201</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04</w:t>
            </w:r>
          </w:p>
        </w:tc>
        <w:tc>
          <w:tcPr/>
          <w:p>
            <w:pPr>
              <w:pStyle w:val="Compact"/>
              <w:jc w:val="left"/>
            </w:pPr>
            <w:r>
              <w:t xml:space="preserve">Industrial Dough Mixer (Spiral, 40 kg capacity) — Baker ProLine</w:t>
            </w:r>
          </w:p>
        </w:tc>
        <w:tc>
          <w:tcPr/>
          <w:p>
            <w:pPr>
              <w:pStyle w:val="Compact"/>
              <w:jc w:val="left"/>
            </w:pPr>
            <w:r>
              <w:t xml:space="preserve">BAK-MIX-088</w:t>
            </w:r>
          </w:p>
        </w:tc>
        <w:tc>
          <w:tcPr/>
          <w:p>
            <w:pPr>
              <w:pStyle w:val="Compact"/>
              <w:jc w:val="left"/>
            </w:pPr>
            <w:r>
              <w:t xml:space="preserve">3</w:t>
            </w:r>
          </w:p>
        </w:tc>
        <w:tc>
          <w:tcPr/>
          <w:p>
            <w:pPr>
              <w:pStyle w:val="Compact"/>
              <w:jc w:val="left"/>
            </w:pPr>
            <w:r>
              <w:t xml:space="preserve">units</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05</w:t>
            </w:r>
          </w:p>
        </w:tc>
        <w:tc>
          <w:tcPr/>
          <w:p>
            <w:pPr>
              <w:pStyle w:val="Compact"/>
              <w:jc w:val="left"/>
            </w:pPr>
            <w:r>
              <w:t xml:space="preserve">Natural Yeast Culture Starter (Sourdough), 1 kg tubs — Baker Heritage Culture</w:t>
            </w:r>
          </w:p>
        </w:tc>
        <w:tc>
          <w:tcPr/>
          <w:p>
            <w:pPr>
              <w:pStyle w:val="Compact"/>
              <w:jc w:val="left"/>
            </w:pPr>
            <w:r>
              <w:t xml:space="preserve">BAK-YST-007</w:t>
            </w:r>
          </w:p>
        </w:tc>
        <w:tc>
          <w:tcPr/>
          <w:p>
            <w:pPr>
              <w:pStyle w:val="Compact"/>
              <w:jc w:val="left"/>
            </w:pPr>
            <w:r>
              <w:t xml:space="preserve">40</w:t>
            </w:r>
          </w:p>
        </w:tc>
        <w:tc>
          <w:tcPr/>
          <w:p>
            <w:pPr>
              <w:pStyle w:val="Compact"/>
              <w:jc w:val="left"/>
            </w:pPr>
            <w:r>
              <w:t xml:space="preserve">tubs</w:t>
            </w:r>
          </w:p>
        </w:tc>
        <w:tc>
          <w:tcPr/>
          <w:p>
            <w:pPr>
              <w:pStyle w:val="Compact"/>
              <w:jc w:val="left"/>
            </w:pPr>
            <w:r>
              <w:t xml:space="preserve">$34.00</w:t>
            </w:r>
          </w:p>
        </w:tc>
        <w:tc>
          <w:tcPr/>
          <w:p>
            <w:pPr>
              <w:pStyle w:val="Compact"/>
              <w:jc w:val="left"/>
            </w:pPr>
            <w:r>
              <w:t xml:space="preserve">$1,360.00</w:t>
            </w:r>
          </w:p>
        </w:tc>
      </w:tr>
      <w:tr>
        <w:tc>
          <w:tcPr/>
          <w:p>
            <w:pPr>
              <w:pStyle w:val="Compact"/>
              <w:jc w:val="left"/>
            </w:pPr>
            <w:r>
              <w:t xml:space="preserve">06</w:t>
            </w:r>
          </w:p>
        </w:tc>
        <w:tc>
          <w:tcPr/>
          <w:p>
            <w:pPr>
              <w:pStyle w:val="Compact"/>
              <w:jc w:val="left"/>
            </w:pPr>
            <w:r>
              <w:t xml:space="preserve">Stainless Steel Baking Trays (Half-Sheet, 600×400 mm) — Baker Metalware</w:t>
            </w:r>
          </w:p>
        </w:tc>
        <w:tc>
          <w:tcPr/>
          <w:p>
            <w:pPr>
              <w:pStyle w:val="Compact"/>
              <w:jc w:val="left"/>
            </w:pPr>
            <w:r>
              <w:t xml:space="preserve">BAK-TRAY-112</w:t>
            </w:r>
          </w:p>
        </w:tc>
        <w:tc>
          <w:tcPr/>
          <w:p>
            <w:pPr>
              <w:pStyle w:val="Compact"/>
              <w:jc w:val="left"/>
            </w:pPr>
            <w:r>
              <w:t xml:space="preserve">200</w:t>
            </w:r>
          </w:p>
        </w:tc>
        <w:tc>
          <w:tcPr/>
          <w:p>
            <w:pPr>
              <w:pStyle w:val="Compact"/>
              <w:jc w:val="left"/>
            </w:pPr>
            <w:r>
              <w:t xml:space="preserve">trays</w:t>
            </w:r>
          </w:p>
        </w:tc>
        <w:tc>
          <w:tcPr/>
          <w:p>
            <w:pPr>
              <w:pStyle w:val="Compact"/>
              <w:jc w:val="left"/>
            </w:pPr>
            <w:r>
              <w:t xml:space="preserve">$12.75</w:t>
            </w:r>
          </w:p>
        </w:tc>
        <w:tc>
          <w:tcPr/>
          <w:p>
            <w:pPr>
              <w:pStyle w:val="Compact"/>
              <w:jc w:val="left"/>
            </w:pPr>
            <w:r>
              <w:t xml:space="preserve">$2,550.00</w:t>
            </w:r>
          </w:p>
        </w:tc>
      </w:tr>
      <w:tr>
        <w:tc>
          <w:tcPr/>
          <w:p>
            <w:pPr>
              <w:pStyle w:val="Compact"/>
              <w:jc w:val="left"/>
            </w:pPr>
            <w:r>
              <w:t xml:space="preserve">07</w:t>
            </w:r>
          </w:p>
        </w:tc>
        <w:tc>
          <w:tcPr/>
          <w:p>
            <w:pPr>
              <w:pStyle w:val="Compact"/>
              <w:jc w:val="left"/>
            </w:pPr>
            <w:r>
              <w:t xml:space="preserve">Vanilla Bean Paste (Australian Sourced), 500 ml bottles — Baker Flavours</w:t>
            </w:r>
          </w:p>
        </w:tc>
        <w:tc>
          <w:tcPr/>
          <w:p>
            <w:pPr>
              <w:pStyle w:val="Compact"/>
              <w:jc w:val="left"/>
            </w:pPr>
            <w:r>
              <w:t xml:space="preserve">BAK-VAN-033</w:t>
            </w:r>
          </w:p>
        </w:tc>
        <w:tc>
          <w:tcPr/>
          <w:p>
            <w:pPr>
              <w:pStyle w:val="Compact"/>
              <w:jc w:val="left"/>
            </w:pPr>
            <w:r>
              <w:t xml:space="preserve">80</w:t>
            </w:r>
          </w:p>
        </w:tc>
        <w:tc>
          <w:tcPr/>
          <w:p>
            <w:pPr>
              <w:pStyle w:val="Compact"/>
              <w:jc w:val="left"/>
            </w:pPr>
            <w:r>
              <w:t xml:space="preserve">bottles</w:t>
            </w:r>
          </w:p>
        </w:tc>
        <w:tc>
          <w:tcPr/>
          <w:p>
            <w:pPr>
              <w:pStyle w:val="Compact"/>
              <w:jc w:val="left"/>
            </w:pPr>
            <w:r>
              <w:t xml:space="preserve">$28.50</w:t>
            </w:r>
          </w:p>
        </w:tc>
        <w:tc>
          <w:tcPr/>
          <w:p>
            <w:pPr>
              <w:pStyle w:val="Compact"/>
              <w:jc w:val="left"/>
            </w:pPr>
            <w:r>
              <w:t xml:space="preserve">$2,280.00</w:t>
            </w:r>
          </w:p>
        </w:tc>
      </w:tr>
      <w:tr>
        <w:tc>
          <w:tcPr/>
          <w:p>
            <w:pPr>
              <w:pStyle w:val="Compact"/>
              <w:jc w:val="left"/>
            </w:pPr>
            <w:r>
              <w:t xml:space="preserve">08</w:t>
            </w:r>
          </w:p>
        </w:tc>
        <w:tc>
          <w:tcPr/>
          <w:p>
            <w:pPr>
              <w:pStyle w:val="Compact"/>
              <w:jc w:val="left"/>
            </w:pPr>
            <w:r>
              <w:t xml:space="preserve">Commercial Proofing Chamber (Electric, 12-Tray) — Baker Climate Control</w:t>
            </w:r>
          </w:p>
        </w:tc>
        <w:tc>
          <w:tcPr/>
          <w:p>
            <w:pPr>
              <w:pStyle w:val="Compact"/>
              <w:jc w:val="left"/>
            </w:pPr>
            <w:r>
              <w:t xml:space="preserve">BAK-PRF-045</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09</w:t>
            </w:r>
          </w:p>
        </w:tc>
        <w:tc>
          <w:tcPr/>
          <w:p>
            <w:pPr>
              <w:pStyle w:val="Compact"/>
              <w:jc w:val="left"/>
            </w:pPr>
            <w:r>
              <w:t xml:space="preserve">Food-Grade Silicone Baking Mats (Reusable, A3 Size) — Baker Accessories</w:t>
            </w:r>
          </w:p>
        </w:tc>
        <w:tc>
          <w:tcPr/>
          <w:p>
            <w:pPr>
              <w:pStyle w:val="Compact"/>
              <w:jc w:val="left"/>
            </w:pPr>
            <w:r>
              <w:t xml:space="preserve">BAK-MAT-061</w:t>
            </w:r>
          </w:p>
        </w:tc>
        <w:tc>
          <w:tcPr/>
          <w:p>
            <w:pPr>
              <w:pStyle w:val="Compact"/>
              <w:jc w:val="left"/>
            </w:pPr>
            <w:r>
              <w:t xml:space="preserve">150</w:t>
            </w:r>
          </w:p>
        </w:tc>
        <w:tc>
          <w:tcPr/>
          <w:p>
            <w:pPr>
              <w:pStyle w:val="Compact"/>
              <w:jc w:val="left"/>
            </w:pPr>
            <w:r>
              <w:t xml:space="preserve">mats</w:t>
            </w:r>
          </w:p>
        </w:tc>
        <w:tc>
          <w:tcPr/>
          <w:p>
            <w:pPr>
              <w:pStyle w:val="Compact"/>
              <w:jc w:val="left"/>
            </w:pPr>
            <w:r>
              <w:t xml:space="preserve">$9.90</w:t>
            </w:r>
          </w:p>
        </w:tc>
        <w:tc>
          <w:tcPr/>
          <w:p>
            <w:pPr>
              <w:pStyle w:val="Compact"/>
              <w:jc w:val="left"/>
            </w:pPr>
            <w:r>
              <w:t xml:space="preserve">$1,485.00</w:t>
            </w:r>
          </w:p>
        </w:tc>
      </w:tr>
      <w:tr>
        <w:tc>
          <w:tcPr/>
          <w:p>
            <w:pPr>
              <w:pStyle w:val="Compact"/>
              <w:jc w:val="left"/>
            </w:pPr>
            <w:r>
              <w:t xml:space="preserve">10</w:t>
            </w:r>
          </w:p>
        </w:tc>
        <w:tc>
          <w:tcPr/>
          <w:p>
            <w:pPr>
              <w:pStyle w:val="Compact"/>
              <w:jc w:val="left"/>
            </w:pPr>
            <w:r>
              <w:t xml:space="preserve">Annual Maintenance &amp; Calibration Service Plan for Baker Equipment</w:t>
            </w:r>
          </w:p>
        </w:tc>
        <w:tc>
          <w:tcPr/>
          <w:p>
            <w:pPr>
              <w:pStyle w:val="Compact"/>
              <w:jc w:val="left"/>
            </w:pPr>
            <w:r>
              <w:t xml:space="preserve">BAK-SVC-900</w:t>
            </w:r>
          </w:p>
        </w:tc>
        <w:tc>
          <w:tcPr/>
          <w:p>
            <w:pPr>
              <w:pStyle w:val="Compact"/>
              <w:jc w:val="left"/>
            </w:pPr>
            <w:r>
              <w:t xml:space="preserve">1</w:t>
            </w:r>
          </w:p>
        </w:tc>
        <w:tc>
          <w:tcPr/>
          <w:p>
            <w:pPr>
              <w:pStyle w:val="Compact"/>
              <w:jc w:val="left"/>
            </w:pPr>
            <w:r>
              <w:t xml:space="preserve">plan</w:t>
            </w:r>
          </w:p>
        </w:tc>
        <w:tc>
          <w:tcPr/>
          <w:p>
            <w:pPr>
              <w:pStyle w:val="Compact"/>
              <w:jc w:val="left"/>
            </w:pPr>
            <w:r>
              <w:t xml:space="preserve">$3,200.00</w:t>
            </w:r>
          </w:p>
        </w:tc>
        <w:tc>
          <w:tcPr/>
          <w:p>
            <w:pPr>
              <w:pStyle w:val="Compact"/>
              <w:jc w:val="left"/>
            </w:pPr>
            <w:r>
              <w:t xml:space="preserve">$3,200.00</w:t>
            </w:r>
          </w:p>
        </w:tc>
      </w:tr>
      <w:tr>
        <w:tc>
          <w:tcPr>
            <w:gridSpan w:val="6"/>
          </w:tcPr>
          <w:p>
            <w:pPr>
              <w:pStyle w:val="Compact"/>
              <w:jc w:val="right"/>
            </w:pPr>
            <w:r>
              <w:t xml:space="preserve">Subtotal (AUD)</w:t>
            </w:r>
          </w:p>
        </w:tc>
        <w:tc>
          <w:tcPr/>
          <w:p>
            <w:pPr>
              <w:pStyle w:val="Compact"/>
              <w:jc w:val="left"/>
            </w:pPr>
            <w:r>
              <w:t xml:space="preserve">$87,155.00</w:t>
            </w:r>
          </w:p>
        </w:tc>
      </w:tr>
      <w:tr>
        <w:tc>
          <w:tcPr>
            <w:gridSpan w:val="6"/>
          </w:tcPr>
          <w:p>
            <w:pPr>
              <w:pStyle w:val="Compact"/>
              <w:jc w:val="right"/>
            </w:pPr>
            <w:r>
              <w:t xml:space="preserve">GST (10%) — Australia Melbourne Tax</w:t>
            </w:r>
          </w:p>
        </w:tc>
        <w:tc>
          <w:tcPr/>
          <w:p>
            <w:pPr>
              <w:pStyle w:val="Compact"/>
              <w:jc w:val="left"/>
            </w:pPr>
            <w:r>
              <w:t xml:space="preserve">$8,715.50</w:t>
            </w:r>
          </w:p>
        </w:tc>
      </w:tr>
      <w:tr>
        <w:tc>
          <w:tcPr>
            <w:gridSpan w:val="6"/>
          </w:tcPr>
          <w:p>
            <w:pPr>
              <w:pStyle w:val="Compact"/>
              <w:jc w:val="right"/>
            </w:pPr>
            <w:r>
              <w:rPr>
                <w:bCs/>
                <w:b/>
              </w:rPr>
              <w:t xml:space="preserve">TOTAL PURCHASE ORDER VALUE (AUD, incl. GST)</w:t>
            </w:r>
          </w:p>
        </w:tc>
        <w:tc>
          <w:tcPr/>
          <w:p>
            <w:pPr>
              <w:pStyle w:val="Compact"/>
              <w:jc w:val="left"/>
            </w:pPr>
            <w:r>
              <w:rPr>
                <w:bCs/>
                <w:b/>
              </w:rPr>
              <w:t xml:space="preserve">$95,870.50</w:t>
            </w:r>
          </w:p>
        </w:tc>
      </w:tr>
    </w:tbl>
    <w:p>
      <w:pPr>
        <w:pStyle w:val="BodyText"/>
      </w:pPr>
      <w:r>
        <w:t xml:space="preserve">3. DELIVERY &amp; LOGISTICS — AUSTRALIA MELBOURNE</w:t>
      </w:r>
    </w:p>
    <w:p>
      <w:pPr>
        <w:pStyle w:val="BodyText"/>
      </w:pPr>
      <w:r>
        <w:t xml:space="preserve">This Purchase Order mandates that all goods and equipment supplied by</w:t>
      </w:r>
      <w:r>
        <w:t xml:space="preserve"> </w:t>
      </w:r>
      <w:r>
        <w:t xml:space="preserve">Baker</w:t>
      </w:r>
      <w:r>
        <w:t xml:space="preserve"> </w:t>
      </w:r>
      <w:r>
        <w:t xml:space="preserve">Pty Ltd shall be delivered to the Buyer’s premises located at 42 Collins Street, Melbourne VIC 3000, Australia. Delivery is scheduled for the week commencing 30 June 2025. Baker Pty Ltd is responsible for all freight, insurance, and handling costs associated with transporting goods within the Australia Melbourne metropolitan area. All commercial equipment, including the Baker Commercial Series deck ovens and Baker ProLine dough mixers, must be installed, calibrated, and certified for safe operation in accordance with Victorian WorkSafe regulations prior to handover. Baker shall provide a minimum of 48 hours’ written notice prior to the delivery date to allow the Buyer to prepare the receiving area. Any delays attributable to Baker’s logistics partners within Australia Melbourne shall be communicated in writing within 24 hours of the anticipated delay.</w:t>
      </w:r>
    </w:p>
    <w:p>
      <w:pPr>
        <w:pStyle w:val="BodyText"/>
      </w:pPr>
      <w:r>
        <w:t xml:space="preserve">4. PAYMENT TERMS</w:t>
      </w:r>
    </w:p>
    <w:p>
      <w:pPr>
        <w:pStyle w:val="BodyText"/>
      </w:pPr>
      <w:r>
        <w:t xml:space="preserve">Payment for this Purchase Order shall be made in accordance with the following schedule: a deposit of 30% (AUD $28,761.15) is due within 7 business days of the Buyer’s acceptance of this Purchase Order. The remaining 70% (AUD $67,109.35) shall be payable within 30 days of confirmed delivery and successful installation of all Baker equipment at the Australia Melbourne site. Payment shall be made via electronic funds transfer (EFT) to Baker Pty Ltd’s nominated bank account. Baker shall issue a tax invoice compliant with the Australian Taxation Office (ATO) requirements for each payment tranche. Late payments shall attract interest at the rate of 2% per month, in accordance with the Victorian Commercial Tenancy and Supply Act provisions applicable to Australia Melbourne commercial transactions.</w:t>
      </w:r>
    </w:p>
    <w:p>
      <w:pPr>
        <w:pStyle w:val="BodyText"/>
      </w:pPr>
      <w:r>
        <w:t xml:space="preserve">5. TERMS AND CONDITIONS</w:t>
      </w:r>
    </w:p>
    <w:p>
      <w:pPr>
        <w:numPr>
          <w:ilvl w:val="0"/>
          <w:numId w:val="1001"/>
        </w:numPr>
        <w:pStyle w:val="Compact"/>
      </w:pPr>
      <w:r>
        <w:t xml:space="preserve">This Purchase Order is governed by the laws of the State of Victoria, Australia, and the Commonwealth of Australia. Any disputes arising from this Purchase Order between the Buyer and Baker Pty Ltd shall be resolved through mediation in Australia Melbourne before proceeding to litigation in the Victorian Supreme Court.</w:t>
      </w:r>
    </w:p>
    <w:p>
      <w:pPr>
        <w:numPr>
          <w:ilvl w:val="0"/>
          <w:numId w:val="1001"/>
        </w:numPr>
        <w:pStyle w:val="Compact"/>
      </w:pPr>
      <w:r>
        <w:t xml:space="preserve">All products and equipment supplied under this Purchase Order by Baker shall be new, unused, and free from defects in materials and workmanship. Baker warrants that all goods comply with the Australian Consumer Law (ACL) and applicable Australian Standards (AS/NZS).</w:t>
      </w:r>
    </w:p>
    <w:p>
      <w:pPr>
        <w:numPr>
          <w:ilvl w:val="0"/>
          <w:numId w:val="1001"/>
        </w:numPr>
        <w:pStyle w:val="Compact"/>
      </w:pPr>
      <w:r>
        <w:t xml:space="preserve">Baker Pty Ltd shall provide a minimum 12-month warranty on all commercial equipment (ovens, mixers, proofing chambers) and a 6-month warranty on consumable goods and accessories. Warranty claims must be submitted in writing to Baker’s Australia Melbourne service centre within the warranty period.</w:t>
      </w:r>
    </w:p>
    <w:p>
      <w:pPr>
        <w:numPr>
          <w:ilvl w:val="0"/>
          <w:numId w:val="1001"/>
        </w:numPr>
        <w:pStyle w:val="Compact"/>
      </w:pPr>
      <w:r>
        <w:t xml:space="preserve">The Buyer reserves the right to inspect all goods upon delivery at the Australia Melbourne receiving point. Any items found to be damaged, incorrect, or non-conforming to the specifications listed in this Purchase Order must be rejected within 5 business days of delivery. Baker shall replace or refund rejected items at no additional cost to the Buyer.</w:t>
      </w:r>
    </w:p>
    <w:p>
      <w:pPr>
        <w:numPr>
          <w:ilvl w:val="0"/>
          <w:numId w:val="1001"/>
        </w:numPr>
        <w:pStyle w:val="Compact"/>
      </w:pPr>
      <w:r>
        <w:t xml:space="preserve">Baker Pty Ltd shall maintain adequate product liability insurance with a minimum coverage of AUD $20,000,000 for the duration of this Purchase Order and the associated warranty period.</w:t>
      </w:r>
    </w:p>
    <w:p>
      <w:pPr>
        <w:numPr>
          <w:ilvl w:val="0"/>
          <w:numId w:val="1001"/>
        </w:numPr>
        <w:pStyle w:val="Compact"/>
      </w:pPr>
      <w:r>
        <w:t xml:space="preserve">Neither party shall be liable for failure to perform obligations under this Purchase Order due to force majeure events, including but not limited to natural disasters affecting the Australia Melbourne region, pandemics, or government-mandated business closures.</w:t>
      </w:r>
    </w:p>
    <w:p>
      <w:pPr>
        <w:numPr>
          <w:ilvl w:val="0"/>
          <w:numId w:val="1001"/>
        </w:numPr>
        <w:pStyle w:val="Compact"/>
      </w:pPr>
      <w:r>
        <w:t xml:space="preserve">All intellectual property, trademarks, and proprietary formulations associated with the Baker brand, including the Baker Signature Blend flour and Baker Heritage Culture yeast, remain the exclusive property of Baker Pty Ltd. This Purchase Order does not grant the Buyer any rights to reproduce, rebrand, or commercially exploit Baker’s proprietary products beyond the scope of internal use at the Buyer’s Australia Melbourne premises.</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 whether written or oral, relating to the supply of Baker products and services to the Buyer in Australia Melbourne.</w:t>
      </w:r>
    </w:p>
    <w:p>
      <w:pPr>
        <w:pStyle w:val="FirstParagraph"/>
      </w:pPr>
      <w:r>
        <w:t xml:space="preserve">6. AUTHORITY &amp; ACCEPTANCE</w:t>
      </w:r>
    </w:p>
    <w:p>
      <w:pPr>
        <w:pStyle w:val="BodyText"/>
      </w:pPr>
      <w:r>
        <w:t xml:space="preserve">By signing below, both parties acknowledge and agree to all terms, conditions, line items, and obligations set forth in this Purchase Order. This document is executed in two (2) original counterparts, one retained by each party. The Buyer confirms that the undersigned individual holds full authority to bind Yarra Valley Hospitality Group Pty Ltd to the commitments outlined in this Purchase Order. Baker Pty Ltd confirms that the undersigned Director authorises the supply of all goods and services as specified herein.</w:t>
      </w:r>
    </w:p>
    <w:p>
      <w:pPr>
        <w:pStyle w:val="BodyText"/>
      </w:pPr>
      <w:r>
        <w:rPr>
          <w:bCs/>
          <w:b/>
        </w:rPr>
        <w:t xml:space="preserve">For and on behalf of the Buyer:</w:t>
      </w:r>
      <w:r>
        <w:br/>
      </w:r>
      <w:r>
        <w:t xml:space="preserve">Yarra Valley Hospitality Group Pty Ltd</w:t>
      </w:r>
    </w:p>
    <w:p>
      <w:pPr>
        <w:pStyle w:val="BodyText"/>
      </w:pPr>
      <w:r>
        <w:rPr>
          <w:bCs/>
          <w:b/>
        </w:rPr>
        <w:t xml:space="preserve">Name:</w:t>
      </w:r>
      <w:r>
        <w:t xml:space="preserve"> </w:t>
      </w:r>
      <w:r>
        <w:t xml:space="preserve">Ms. Eleanor Whitfield</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r>
        <w:br/>
      </w:r>
      <w:r>
        <w:t xml:space="preserve">Baker Pty Ltd — Australia Melbourne</w:t>
      </w:r>
    </w:p>
    <w:p>
      <w:pPr>
        <w:pStyle w:val="BodyText"/>
      </w:pPr>
      <w:r>
        <w:rPr>
          <w:bCs/>
          <w:b/>
        </w:rPr>
        <w:t xml:space="preserve">Name:</w:t>
      </w:r>
      <w:r>
        <w:t xml:space="preserve"> </w:t>
      </w:r>
      <w:r>
        <w:t xml:space="preserve">Mr. James Baker</w:t>
      </w:r>
      <w:r>
        <w:br/>
      </w:r>
      <w:r>
        <w:rPr>
          <w:bCs/>
          <w:b/>
        </w:rPr>
        <w:t xml:space="preserve">Title:</w:t>
      </w:r>
      <w:r>
        <w:t xml:space="preserve"> </w:t>
      </w:r>
      <w:r>
        <w:t xml:space="preserve">Director &amp; Head of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Purchase Order No. PO-2025-AUM-04782</w:t>
      </w:r>
      <w:r>
        <w:t xml:space="preserve"> </w:t>
      </w:r>
      <w:r>
        <w:t xml:space="preserve">— Issued by Yarra Valley Hospitality Group Pty Ltd to Baker Pty Ltd, Australia Melbourne.</w:t>
      </w:r>
      <w:r>
        <w:br/>
      </w:r>
      <w:r>
        <w:t xml:space="preserve">This document is confidential and intended solely for the named parties. Unauthorised reproduction or distribution is prohibited under Australian copyright law.</w:t>
      </w:r>
      <w:r>
        <w:br/>
      </w:r>
      <w:r>
        <w:t xml:space="preserve">© 2025 Yarra Valley Hospitality Group Pty Ltd. All rights reserved. | Baker Pty Ltd, 18 Lonsdale Street, Richmond, Australia Melbourne VIC 3121.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Australia Melbourne</dc:title>
  <dc:creator/>
  <dc:language>en</dc:language>
  <cp:keywords/>
  <dcterms:created xsi:type="dcterms:W3CDTF">2026-10-10T02:22:56Z</dcterms:created>
  <dcterms:modified xsi:type="dcterms:W3CDTF">2026-10-10T02:22:56Z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