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Supply</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Baker Supply Procurement — France Marseille Region</w:t>
      </w:r>
    </w:p>
    <w:p>
      <w:pPr>
        <w:pStyle w:val="BodyText"/>
      </w:pPr>
      <w:r>
        <w:t xml:space="preserve">Document Reference: PO-FR-MRS-2025-00472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PO-FR-MRS-2025-00472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Buyer (Recipient)</w:t>
            </w:r>
          </w:p>
        </w:tc>
        <w:tc>
          <w:tcPr/>
          <w:p>
            <w:pPr>
              <w:pStyle w:val="Compact"/>
              <w:jc w:val="left"/>
            </w:pPr>
            <w:r>
              <w:t xml:space="preserve">Maison Boulangerie du Port, 27 Rue de la République, 13001 Marseille, France</w:t>
            </w:r>
          </w:p>
        </w:tc>
        <w:tc>
          <w:tcPr/>
          <w:p>
            <w:pPr>
              <w:pStyle w:val="Compact"/>
              <w:jc w:val="left"/>
            </w:pPr>
            <w:r>
              <w:t xml:space="preserve">Seller (Supplier)</w:t>
            </w:r>
          </w:p>
        </w:tc>
        <w:tc>
          <w:tcPr/>
          <w:p>
            <w:pPr>
              <w:pStyle w:val="Compact"/>
              <w:jc w:val="left"/>
            </w:pPr>
            <w:r>
              <w:t xml:space="preserve">Provence Artisanal Supplies SARL, 145 Avenue du Prado, 13006 Marseille, France</w:t>
            </w:r>
          </w:p>
        </w:tc>
      </w:tr>
      <w:tr>
        <w:tc>
          <w:tcPr/>
          <w:p>
            <w:pPr>
              <w:pStyle w:val="Compact"/>
              <w:jc w:val="left"/>
            </w:pPr>
            <w:r>
              <w:t xml:space="preserve">Buyer Contact</w:t>
            </w:r>
          </w:p>
        </w:tc>
        <w:tc>
          <w:tcPr/>
          <w:p>
            <w:pPr>
              <w:pStyle w:val="Compact"/>
              <w:jc w:val="left"/>
            </w:pPr>
            <w:r>
              <w:t xml:space="preserve">Henri Delacroix, Master Baker &amp; Proprietor</w:t>
            </w:r>
          </w:p>
        </w:tc>
        <w:tc>
          <w:tcPr/>
          <w:p>
            <w:pPr>
              <w:pStyle w:val="Compact"/>
              <w:jc w:val="left"/>
            </w:pPr>
            <w:r>
              <w:t xml:space="preserve">Seller Contact</w:t>
            </w:r>
          </w:p>
        </w:tc>
        <w:tc>
          <w:tcPr/>
          <w:p>
            <w:pPr>
              <w:pStyle w:val="Compact"/>
              <w:jc w:val="left"/>
            </w:pPr>
            <w:r>
              <w:t xml:space="preserve">Camille Fontaine, Sales Director</w:t>
            </w:r>
          </w:p>
        </w:tc>
      </w:tr>
      <w:tr>
        <w:tc>
          <w:tcPr/>
          <w:p>
            <w:pPr>
              <w:pStyle w:val="Compact"/>
              <w:jc w:val="left"/>
            </w:pPr>
            <w:r>
              <w:t xml:space="preserve">Delivery Address</w:t>
            </w:r>
          </w:p>
        </w:tc>
        <w:tc>
          <w:tcPr>
            <w:gridSpan w:val="3"/>
          </w:tcPr>
          <w:p>
            <w:pPr>
              <w:pStyle w:val="Compact"/>
              <w:jc w:val="left"/>
            </w:pPr>
            <w:r>
              <w:t xml:space="preserve">Maison Boulangerie du Port, 27 Rue de la République, 13001 Marseille, Bouches-du-Rhône, France</w:t>
            </w:r>
          </w:p>
        </w:tc>
      </w:tr>
      <w:tr>
        <w:tc>
          <w:tcPr/>
          <w:p>
            <w:pPr>
              <w:pStyle w:val="Compact"/>
              <w:jc w:val="left"/>
            </w:pPr>
            <w:r>
              <w:t xml:space="preserve">Delivery Deadline</w:t>
            </w:r>
          </w:p>
        </w:tc>
        <w:tc>
          <w:tcPr/>
          <w:p>
            <w:pPr>
              <w:pStyle w:val="Compact"/>
              <w:jc w:val="left"/>
            </w:pPr>
            <w:r>
              <w:t xml:space="preserve">28 June 2025</w:t>
            </w:r>
          </w:p>
        </w:tc>
        <w:tc>
          <w:tcPr/>
          <w:p>
            <w:pPr>
              <w:pStyle w:val="Compact"/>
              <w:jc w:val="left"/>
            </w:pPr>
            <w:r>
              <w:t xml:space="preserve">Payment Terms</w:t>
            </w:r>
          </w:p>
        </w:tc>
        <w:tc>
          <w:tcPr/>
          <w:p>
            <w:pPr>
              <w:pStyle w:val="Compact"/>
              <w:jc w:val="left"/>
            </w:pPr>
            <w:r>
              <w:t xml:space="preserve">Net 30 days from invoice date</w:t>
            </w:r>
          </w:p>
        </w:tc>
      </w:tr>
    </w:tbl>
    <w:bookmarkStart w:id="21" w:name="purpose-of-this-purchase-order"/>
    <w:p>
      <w:pPr>
        <w:pStyle w:val="Heading2"/>
      </w:pPr>
      <w:r>
        <w:t xml:space="preserve">1. Purpose of This Purchase Order</w:t>
      </w:r>
    </w:p>
    <w:p>
      <w:pPr>
        <w:pStyle w:val="FirstParagraph"/>
      </w:pPr>
      <w:r>
        <w:t xml:space="preserve">This</w:t>
      </w:r>
      <w:r>
        <w:t xml:space="preserve"> </w:t>
      </w:r>
      <w:r>
        <w:t xml:space="preserve">Purchase Order</w:t>
      </w:r>
      <w:r>
        <w:t xml:space="preserve"> </w:t>
      </w:r>
      <w:r>
        <w:t xml:space="preserve">is issued by Maison Boulangerie du Port, a renowned artisan</w:t>
      </w:r>
      <w:r>
        <w:t xml:space="preserve"> </w:t>
      </w:r>
      <w:r>
        <w:t xml:space="preserve">Baker</w:t>
      </w:r>
      <w:r>
        <w:t xml:space="preserve"> </w:t>
      </w:r>
      <w:r>
        <w:t xml:space="preserve">establishment located in the heart of</w:t>
      </w:r>
      <w:r>
        <w:t xml:space="preserve"> </w:t>
      </w:r>
      <w:r>
        <w:t xml:space="preserve">France Marseille</w:t>
      </w:r>
      <w:r>
        <w:t xml:space="preserve">, to formally request the procurement of professional baking equipment, premium ingredients, and operational supplies. As a long-standing</w:t>
      </w:r>
      <w:r>
        <w:t xml:space="preserve"> </w:t>
      </w:r>
      <w:r>
        <w:t xml:space="preserve">Baker</w:t>
      </w:r>
      <w:r>
        <w:t xml:space="preserve"> </w:t>
      </w:r>
      <w:r>
        <w:t xml:space="preserve">in the</w:t>
      </w:r>
      <w:r>
        <w:t xml:space="preserve"> </w:t>
      </w:r>
      <w:r>
        <w:t xml:space="preserve">France Marseille</w:t>
      </w:r>
      <w:r>
        <w:t xml:space="preserve"> </w:t>
      </w:r>
      <w:r>
        <w:t xml:space="preserve">community, our commitment to producing exceptional breads, pastries, and confections demands that all materials sourced through this</w:t>
      </w:r>
      <w:r>
        <w:t xml:space="preserve"> </w:t>
      </w:r>
      <w:r>
        <w:t xml:space="preserve">Purchase Order</w:t>
      </w:r>
      <w:r>
        <w:t xml:space="preserve"> </w:t>
      </w:r>
      <w:r>
        <w:t xml:space="preserve">meet the highest standards of quality and authenticity. This document serves as a binding agreement between the</w:t>
      </w:r>
      <w:r>
        <w:t xml:space="preserve"> </w:t>
      </w:r>
      <w:r>
        <w:t xml:space="preserve">Baker</w:t>
      </w:r>
      <w:r>
        <w:t xml:space="preserve"> </w:t>
      </w:r>
      <w:r>
        <w:t xml:space="preserve">and the supplier for the items listed below, and all terms herein shall be governed by the commercial laws of the French Republic.</w:t>
      </w:r>
    </w:p>
    <w:bookmarkEnd w:id="21"/>
    <w:bookmarkStart w:id="22" w:name="itemised-list-of-procured-goods"/>
    <w:p>
      <w:pPr>
        <w:pStyle w:val="Heading2"/>
      </w:pPr>
      <w:r>
        <w:t xml:space="preserve">2. Itemised List of Procured Goods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Stone-milled T65 French flour (organic, certified AB), 25 kg sacks</w:t>
            </w:r>
          </w:p>
        </w:tc>
        <w:tc>
          <w:tcPr/>
          <w:p>
            <w:pPr>
              <w:pStyle w:val="Compact"/>
              <w:jc w:val="left"/>
            </w:pPr>
            <w:r>
              <w:t xml:space="preserve">40</w:t>
            </w:r>
          </w:p>
        </w:tc>
        <w:tc>
          <w:tcPr/>
          <w:p>
            <w:pPr>
              <w:pStyle w:val="Compact"/>
              <w:jc w:val="left"/>
            </w:pPr>
            <w:r>
              <w:t xml:space="preserve">sacks</w:t>
            </w:r>
          </w:p>
        </w:tc>
        <w:tc>
          <w:tcPr/>
          <w:p>
            <w:pPr>
              <w:pStyle w:val="Compact"/>
              <w:jc w:val="left"/>
            </w:pPr>
            <w:r>
              <w:t xml:space="preserve">38.50</w:t>
            </w:r>
          </w:p>
        </w:tc>
        <w:tc>
          <w:tcPr/>
          <w:p>
            <w:pPr>
              <w:pStyle w:val="Compact"/>
              <w:jc w:val="left"/>
            </w:pPr>
            <w:r>
              <w:t xml:space="preserve">1,540.00</w:t>
            </w:r>
          </w:p>
        </w:tc>
      </w:tr>
      <w:tr>
        <w:tc>
          <w:tcPr/>
          <w:p>
            <w:pPr>
              <w:pStyle w:val="Compact"/>
              <w:jc w:val="left"/>
            </w:pPr>
            <w:r>
              <w:t xml:space="preserve">02</w:t>
            </w:r>
          </w:p>
        </w:tc>
        <w:tc>
          <w:tcPr/>
          <w:p>
            <w:pPr>
              <w:pStyle w:val="Compact"/>
              <w:jc w:val="left"/>
            </w:pPr>
            <w:r>
              <w:t xml:space="preserve">Stone-milled T45 pastry flour, 25 kg sacks</w:t>
            </w:r>
          </w:p>
        </w:tc>
        <w:tc>
          <w:tcPr/>
          <w:p>
            <w:pPr>
              <w:pStyle w:val="Compact"/>
              <w:jc w:val="left"/>
            </w:pPr>
            <w:r>
              <w:t xml:space="preserve">20</w:t>
            </w:r>
          </w:p>
        </w:tc>
        <w:tc>
          <w:tcPr/>
          <w:p>
            <w:pPr>
              <w:pStyle w:val="Compact"/>
              <w:jc w:val="left"/>
            </w:pPr>
            <w:r>
              <w:t xml:space="preserve">sacks</w:t>
            </w:r>
          </w:p>
        </w:tc>
        <w:tc>
          <w:tcPr/>
          <w:p>
            <w:pPr>
              <w:pStyle w:val="Compact"/>
              <w:jc w:val="left"/>
            </w:pPr>
            <w:r>
              <w:t xml:space="preserve">42.00</w:t>
            </w:r>
          </w:p>
        </w:tc>
        <w:tc>
          <w:tcPr/>
          <w:p>
            <w:pPr>
              <w:pStyle w:val="Compact"/>
              <w:jc w:val="left"/>
            </w:pPr>
            <w:r>
              <w:t xml:space="preserve">840.00</w:t>
            </w:r>
          </w:p>
        </w:tc>
      </w:tr>
      <w:tr>
        <w:tc>
          <w:tcPr/>
          <w:p>
            <w:pPr>
              <w:pStyle w:val="Compact"/>
              <w:jc w:val="left"/>
            </w:pPr>
            <w:r>
              <w:t xml:space="preserve">03</w:t>
            </w:r>
          </w:p>
        </w:tc>
        <w:tc>
          <w:tcPr/>
          <w:p>
            <w:pPr>
              <w:pStyle w:val="Compact"/>
              <w:jc w:val="left"/>
            </w:pPr>
            <w:r>
              <w:t xml:space="preserve">Professional sourdough starter culture (Levain de Marseille heritage strain)</w:t>
            </w:r>
          </w:p>
        </w:tc>
        <w:tc>
          <w:tcPr/>
          <w:p>
            <w:pPr>
              <w:pStyle w:val="Compact"/>
              <w:jc w:val="left"/>
            </w:pPr>
            <w:r>
              <w:t xml:space="preserve">6</w:t>
            </w:r>
          </w:p>
        </w:tc>
        <w:tc>
          <w:tcPr/>
          <w:p>
            <w:pPr>
              <w:pStyle w:val="Compact"/>
              <w:jc w:val="left"/>
            </w:pPr>
            <w:r>
              <w:t xml:space="preserve">units</w:t>
            </w:r>
          </w:p>
        </w:tc>
        <w:tc>
          <w:tcPr/>
          <w:p>
            <w:pPr>
              <w:pStyle w:val="Compact"/>
              <w:jc w:val="left"/>
            </w:pPr>
            <w:r>
              <w:t xml:space="preserve">28.00</w:t>
            </w:r>
          </w:p>
        </w:tc>
        <w:tc>
          <w:tcPr/>
          <w:p>
            <w:pPr>
              <w:pStyle w:val="Compact"/>
              <w:jc w:val="left"/>
            </w:pPr>
            <w:r>
              <w:t xml:space="preserve">168.00</w:t>
            </w:r>
          </w:p>
        </w:tc>
      </w:tr>
      <w:tr>
        <w:tc>
          <w:tcPr/>
          <w:p>
            <w:pPr>
              <w:pStyle w:val="Compact"/>
              <w:jc w:val="left"/>
            </w:pPr>
            <w:r>
              <w:t xml:space="preserve">04</w:t>
            </w:r>
          </w:p>
        </w:tc>
        <w:tc>
          <w:tcPr/>
          <w:p>
            <w:pPr>
              <w:pStyle w:val="Compact"/>
              <w:jc w:val="left"/>
            </w:pPr>
            <w:r>
              <w:t xml:space="preserve">French butter, 82% fat, AOP Beurre de Baratte, 10 kg blocks</w:t>
            </w:r>
          </w:p>
        </w:tc>
        <w:tc>
          <w:tcPr/>
          <w:p>
            <w:pPr>
              <w:pStyle w:val="Compact"/>
              <w:jc w:val="left"/>
            </w:pPr>
            <w:r>
              <w:t xml:space="preserve">15</w:t>
            </w:r>
          </w:p>
        </w:tc>
        <w:tc>
          <w:tcPr/>
          <w:p>
            <w:pPr>
              <w:pStyle w:val="Compact"/>
              <w:jc w:val="left"/>
            </w:pPr>
            <w:r>
              <w:t xml:space="preserve">blocks</w:t>
            </w:r>
          </w:p>
        </w:tc>
        <w:tc>
          <w:tcPr/>
          <w:p>
            <w:pPr>
              <w:pStyle w:val="Compact"/>
              <w:jc w:val="left"/>
            </w:pPr>
            <w:r>
              <w:t xml:space="preserve">95.00</w:t>
            </w:r>
          </w:p>
        </w:tc>
        <w:tc>
          <w:tcPr/>
          <w:p>
            <w:pPr>
              <w:pStyle w:val="Compact"/>
              <w:jc w:val="left"/>
            </w:pPr>
            <w:r>
              <w:t xml:space="preserve">1,425.00</w:t>
            </w:r>
          </w:p>
        </w:tc>
      </w:tr>
      <w:tr>
        <w:tc>
          <w:tcPr/>
          <w:p>
            <w:pPr>
              <w:pStyle w:val="Compact"/>
              <w:jc w:val="left"/>
            </w:pPr>
            <w:r>
              <w:t xml:space="preserve">05</w:t>
            </w:r>
          </w:p>
        </w:tc>
        <w:tc>
          <w:tcPr/>
          <w:p>
            <w:pPr>
              <w:pStyle w:val="Compact"/>
              <w:jc w:val="left"/>
            </w:pPr>
            <w:r>
              <w:t xml:space="preserve">Professional deck oven, 6-deck, gas-fired, 1200 mm width</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Heavy-duty spiral mixer, 40 kg capacity, stainless steel</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4,250.00</w:t>
            </w:r>
          </w:p>
        </w:tc>
        <w:tc>
          <w:tcPr/>
          <w:p>
            <w:pPr>
              <w:pStyle w:val="Compact"/>
              <w:jc w:val="left"/>
            </w:pPr>
            <w:r>
              <w:t xml:space="preserve">8,500.00</w:t>
            </w:r>
          </w:p>
        </w:tc>
      </w:tr>
      <w:tr>
        <w:tc>
          <w:tcPr/>
          <w:p>
            <w:pPr>
              <w:pStyle w:val="Compact"/>
              <w:jc w:val="left"/>
            </w:pPr>
            <w:r>
              <w:t xml:space="preserve">07</w:t>
            </w:r>
          </w:p>
        </w:tc>
        <w:tc>
          <w:tcPr/>
          <w:p>
            <w:pPr>
              <w:pStyle w:val="Compact"/>
              <w:jc w:val="left"/>
            </w:pPr>
            <w:r>
              <w:t xml:space="preserve">Proofing cabinet, 4-tier, humidity-controlled, 1200 mm</w:t>
            </w:r>
          </w:p>
        </w:tc>
        <w:tc>
          <w:tcPr/>
          <w:p>
            <w:pPr>
              <w:pStyle w:val="Compact"/>
              <w:jc w:val="left"/>
            </w:pPr>
            <w:r>
              <w:t xml:space="preserve">1</w:t>
            </w:r>
          </w:p>
        </w:tc>
        <w:tc>
          <w:tcPr/>
          <w:p>
            <w:pPr>
              <w:pStyle w:val="Compact"/>
              <w:jc w:val="left"/>
            </w:pPr>
            <w:r>
              <w:t xml:space="preserve">unit</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08</w:t>
            </w:r>
          </w:p>
        </w:tc>
        <w:tc>
          <w:tcPr/>
          <w:p>
            <w:pPr>
              <w:pStyle w:val="Compact"/>
              <w:jc w:val="left"/>
            </w:pPr>
            <w:r>
              <w:t xml:space="preserve">Bakery display counter, refrigerated, 2400 mm, glass front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7,900.00</w:t>
            </w:r>
          </w:p>
        </w:tc>
        <w:tc>
          <w:tcPr/>
          <w:p>
            <w:pPr>
              <w:pStyle w:val="Compact"/>
              <w:jc w:val="left"/>
            </w:pPr>
            <w:r>
              <w:t xml:space="preserve">7,900.00</w:t>
            </w:r>
          </w:p>
        </w:tc>
      </w:tr>
      <w:tr>
        <w:tc>
          <w:tcPr/>
          <w:p>
            <w:pPr>
              <w:pStyle w:val="Compact"/>
              <w:jc w:val="left"/>
            </w:pPr>
            <w:r>
              <w:t xml:space="preserve">09</w:t>
            </w:r>
          </w:p>
        </w:tc>
        <w:tc>
          <w:tcPr/>
          <w:p>
            <w:pPr>
              <w:pStyle w:val="Compact"/>
              <w:jc w:val="left"/>
            </w:pPr>
            <w:r>
              <w:t xml:space="preserve">Organic cane sugar, 50 kg bags</w:t>
            </w:r>
          </w:p>
        </w:tc>
        <w:tc>
          <w:tcPr/>
          <w:p>
            <w:pPr>
              <w:pStyle w:val="Compact"/>
              <w:jc w:val="left"/>
            </w:pPr>
            <w:r>
              <w:t xml:space="preserve">10</w:t>
            </w:r>
          </w:p>
        </w:tc>
        <w:tc>
          <w:tcPr/>
          <w:p>
            <w:pPr>
              <w:pStyle w:val="Compact"/>
              <w:jc w:val="left"/>
            </w:pPr>
            <w:r>
              <w:t xml:space="preserve">bags</w:t>
            </w:r>
          </w:p>
        </w:tc>
        <w:tc>
          <w:tcPr/>
          <w:p>
            <w:pPr>
              <w:pStyle w:val="Compact"/>
              <w:jc w:val="left"/>
            </w:pPr>
            <w:r>
              <w:t xml:space="preserve">22.00</w:t>
            </w:r>
          </w:p>
        </w:tc>
        <w:tc>
          <w:tcPr/>
          <w:p>
            <w:pPr>
              <w:pStyle w:val="Compact"/>
              <w:jc w:val="left"/>
            </w:pPr>
            <w:r>
              <w:t xml:space="preserve">220.00</w:t>
            </w:r>
          </w:p>
        </w:tc>
      </w:tr>
      <w:tr>
        <w:tc>
          <w:tcPr/>
          <w:p>
            <w:pPr>
              <w:pStyle w:val="Compact"/>
              <w:jc w:val="left"/>
            </w:pPr>
            <w:r>
              <w:t xml:space="preserve">10</w:t>
            </w:r>
          </w:p>
        </w:tc>
        <w:tc>
          <w:tcPr/>
          <w:p>
            <w:pPr>
              <w:pStyle w:val="Compact"/>
              <w:jc w:val="left"/>
            </w:pPr>
            <w:r>
              <w:t xml:space="preserve">Sea salt from the Camargue salt flats, 25 kg bags</w:t>
            </w:r>
          </w:p>
        </w:tc>
        <w:tc>
          <w:tcPr/>
          <w:p>
            <w:pPr>
              <w:pStyle w:val="Compact"/>
              <w:jc w:val="left"/>
            </w:pPr>
            <w:r>
              <w:t xml:space="preserve">8</w:t>
            </w:r>
          </w:p>
        </w:tc>
        <w:tc>
          <w:tcPr/>
          <w:p>
            <w:pPr>
              <w:pStyle w:val="Compact"/>
              <w:jc w:val="left"/>
            </w:pPr>
            <w:r>
              <w:t xml:space="preserve">bags</w:t>
            </w:r>
          </w:p>
        </w:tc>
        <w:tc>
          <w:tcPr/>
          <w:p>
            <w:pPr>
              <w:pStyle w:val="Compact"/>
              <w:jc w:val="left"/>
            </w:pPr>
            <w:r>
              <w:t xml:space="preserve">18.50</w:t>
            </w:r>
          </w:p>
        </w:tc>
        <w:tc>
          <w:tcPr/>
          <w:p>
            <w:pPr>
              <w:pStyle w:val="Compact"/>
              <w:jc w:val="left"/>
            </w:pPr>
            <w:r>
              <w:t xml:space="preserve">148.00</w:t>
            </w:r>
          </w:p>
        </w:tc>
      </w:tr>
      <w:tr>
        <w:tc>
          <w:tcPr/>
          <w:p>
            <w:pPr>
              <w:pStyle w:val="Compact"/>
              <w:jc w:val="left"/>
            </w:pPr>
            <w:r>
              <w:t xml:space="preserve">11</w:t>
            </w:r>
          </w:p>
        </w:tc>
        <w:tc>
          <w:tcPr/>
          <w:p>
            <w:pPr>
              <w:pStyle w:val="Compact"/>
              <w:jc w:val="left"/>
            </w:pPr>
            <w:r>
              <w:t xml:space="preserve">Professional baking trays, perforated, 600×400 mm (set of 20)</w:t>
            </w:r>
          </w:p>
        </w:tc>
        <w:tc>
          <w:tcPr/>
          <w:p>
            <w:pPr>
              <w:pStyle w:val="Compact"/>
              <w:jc w:val="left"/>
            </w:pPr>
            <w:r>
              <w:t xml:space="preserve">3</w:t>
            </w:r>
          </w:p>
        </w:tc>
        <w:tc>
          <w:tcPr/>
          <w:p>
            <w:pPr>
              <w:pStyle w:val="Compact"/>
              <w:jc w:val="left"/>
            </w:pPr>
            <w:r>
              <w:t xml:space="preserve">sets</w:t>
            </w:r>
          </w:p>
        </w:tc>
        <w:tc>
          <w:tcPr/>
          <w:p>
            <w:pPr>
              <w:pStyle w:val="Compact"/>
              <w:jc w:val="left"/>
            </w:pPr>
            <w:r>
              <w:t xml:space="preserve">310.00</w:t>
            </w:r>
          </w:p>
        </w:tc>
        <w:tc>
          <w:tcPr/>
          <w:p>
            <w:pPr>
              <w:pStyle w:val="Compact"/>
              <w:jc w:val="left"/>
            </w:pPr>
            <w:r>
              <w:t xml:space="preserve">930.00</w:t>
            </w:r>
          </w:p>
        </w:tc>
      </w:tr>
      <w:tr>
        <w:tc>
          <w:tcPr/>
          <w:p>
            <w:pPr>
              <w:pStyle w:val="Compact"/>
              <w:jc w:val="left"/>
            </w:pPr>
            <w:r>
              <w:t xml:space="preserve">12</w:t>
            </w:r>
          </w:p>
        </w:tc>
        <w:tc>
          <w:tcPr/>
          <w:p>
            <w:pPr>
              <w:pStyle w:val="Compact"/>
              <w:jc w:val="left"/>
            </w:pPr>
            <w:r>
              <w:t xml:space="preserve">Baker’s peel, beechwood, 800 mm, with handle</w:t>
            </w:r>
          </w:p>
        </w:tc>
        <w:tc>
          <w:tcPr/>
          <w:p>
            <w:pPr>
              <w:pStyle w:val="Compact"/>
              <w:jc w:val="left"/>
            </w:pPr>
            <w:r>
              <w:t xml:space="preserve">4</w:t>
            </w:r>
          </w:p>
        </w:tc>
        <w:tc>
          <w:tcPr/>
          <w:p>
            <w:pPr>
              <w:pStyle w:val="Compact"/>
              <w:jc w:val="left"/>
            </w:pPr>
            <w:r>
              <w:t xml:space="preserve">units</w:t>
            </w:r>
          </w:p>
        </w:tc>
        <w:tc>
          <w:tcPr/>
          <w:p>
            <w:pPr>
              <w:pStyle w:val="Compact"/>
              <w:jc w:val="left"/>
            </w:pPr>
            <w:r>
              <w:t xml:space="preserve">85.00</w:t>
            </w:r>
          </w:p>
        </w:tc>
        <w:tc>
          <w:tcPr/>
          <w:p>
            <w:pPr>
              <w:pStyle w:val="Compact"/>
              <w:jc w:val="left"/>
            </w:pPr>
            <w:r>
              <w:t xml:space="preserve">340.00</w:t>
            </w:r>
          </w:p>
        </w:tc>
      </w:tr>
    </w:tbl>
    <w:p>
      <w:pPr>
        <w:pStyle w:val="BodyText"/>
      </w:pPr>
      <w:r>
        <w:t xml:space="preserve">Subtotal: € 38,411.00</w:t>
      </w:r>
    </w:p>
    <w:p>
      <w:pPr>
        <w:pStyle w:val="BodyText"/>
      </w:pPr>
      <w:r>
        <w:t xml:space="preserve">VAT (TVA) 20%: € 7,682.20</w:t>
      </w:r>
    </w:p>
    <w:p>
      <w:pPr>
        <w:pStyle w:val="BodyText"/>
      </w:pPr>
      <w:r>
        <w:t xml:space="preserve">Grand Total: € 46,093.20</w:t>
      </w:r>
    </w:p>
    <w:bookmarkEnd w:id="22"/>
    <w:bookmarkStart w:id="23" w:name="delivery-and-logistics"/>
    <w:p>
      <w:pPr>
        <w:pStyle w:val="Heading2"/>
      </w:pPr>
      <w:r>
        <w:t xml:space="preserve">3. Delivery and Logistics</w:t>
      </w:r>
    </w:p>
    <w:p>
      <w:pPr>
        <w:pStyle w:val="FirstParagraph"/>
      </w:pPr>
      <w:r>
        <w:t xml:space="preserve">All goods specified in this</w:t>
      </w:r>
      <w:r>
        <w:t xml:space="preserve"> </w:t>
      </w:r>
      <w:r>
        <w:t xml:space="preserve">Purchase Order</w:t>
      </w:r>
      <w:r>
        <w:t xml:space="preserve"> </w:t>
      </w:r>
      <w:r>
        <w:t xml:space="preserve">shall be delivered to the</w:t>
      </w:r>
      <w:r>
        <w:t xml:space="preserve"> </w:t>
      </w:r>
      <w:r>
        <w:t xml:space="preserve">Baker</w:t>
      </w:r>
      <w:r>
        <w:t xml:space="preserve">’s premises at 27 Rue de la République, 13001</w:t>
      </w:r>
      <w:r>
        <w:t xml:space="preserve"> </w:t>
      </w:r>
      <w:r>
        <w:t xml:space="preserve">France Marseille</w:t>
      </w:r>
      <w:r>
        <w:t xml:space="preserve">, no later than 28 June 2025. The supplier is responsible for arranging all freight, insurance, and customs clearance (if applicable) to ensure the goods arrive at the</w:t>
      </w:r>
      <w:r>
        <w:t xml:space="preserve"> </w:t>
      </w:r>
      <w:r>
        <w:t xml:space="preserve">France Marseille</w:t>
      </w:r>
      <w:r>
        <w:t xml:space="preserve"> </w:t>
      </w:r>
      <w:r>
        <w:t xml:space="preserve">delivery point in perfect condition. Large equipment items, including the deck oven, spiral mixers, proofing cabinet, and display counter, shall be delivered by a certified heavy-freight carrier and installed on-site by the supplier’s technical team. The</w:t>
      </w:r>
      <w:r>
        <w:t xml:space="preserve"> </w:t>
      </w:r>
      <w:r>
        <w:t xml:space="preserve">Baker</w:t>
      </w:r>
      <w:r>
        <w:t xml:space="preserve"> </w:t>
      </w:r>
      <w:r>
        <w:t xml:space="preserve">will designate a site supervisor to oversee the unloading and installation process. Delivery to the</w:t>
      </w:r>
      <w:r>
        <w:t xml:space="preserve"> </w:t>
      </w:r>
      <w:r>
        <w:t xml:space="preserve">France Marseille</w:t>
      </w:r>
      <w:r>
        <w:t xml:space="preserve"> </w:t>
      </w:r>
      <w:r>
        <w:t xml:space="preserve">location must be coordinated with the bakery’s operating schedule to minimise disruption to daily production.</w:t>
      </w:r>
    </w:p>
    <w:bookmarkEnd w:id="23"/>
    <w:bookmarkStart w:id="24"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becomes a binding contract upon written acceptance by the supplier. The</w:t>
      </w:r>
      <w:r>
        <w:t xml:space="preserve"> </w:t>
      </w:r>
      <w:r>
        <w:t xml:space="preserve">Baker</w:t>
      </w:r>
      <w:r>
        <w:t xml:space="preserve"> </w:t>
      </w:r>
      <w:r>
        <w:t xml:space="preserve">reserves the right to inspect all delivered goods within five (5) business days of arrival at the</w:t>
      </w:r>
      <w:r>
        <w:t xml:space="preserve"> </w:t>
      </w:r>
      <w:r>
        <w:t xml:space="preserve">France Marseille</w:t>
      </w:r>
      <w:r>
        <w:t xml:space="preserve"> </w:t>
      </w:r>
      <w:r>
        <w:t xml:space="preserve">premises.</w:t>
      </w:r>
    </w:p>
    <w:p>
      <w:pPr>
        <w:numPr>
          <w:ilvl w:val="0"/>
          <w:numId w:val="1001"/>
        </w:numPr>
        <w:pStyle w:val="Compact"/>
      </w:pPr>
      <w:r>
        <w:rPr>
          <w:bCs/>
          <w:b/>
        </w:rPr>
        <w:t xml:space="preserve">Quality Assurance:</w:t>
      </w:r>
      <w:r>
        <w:t xml:space="preserve"> </w:t>
      </w:r>
      <w:r>
        <w:t xml:space="preserve">All ingredients must comply with French and European food safety regulations (Codex Alimentarius, EU Regulation 178/2002). Equipment must carry CE marking and comply with applicable French industrial safety standards. The</w:t>
      </w:r>
      <w:r>
        <w:t xml:space="preserve"> </w:t>
      </w:r>
      <w:r>
        <w:t xml:space="preserve">Baker</w:t>
      </w:r>
      <w:r>
        <w:t xml:space="preserve"> </w:t>
      </w:r>
      <w:r>
        <w:t xml:space="preserve">may reject any item that does not meet the specifications outlined in this</w:t>
      </w:r>
      <w:r>
        <w:t xml:space="preserve"> </w:t>
      </w:r>
      <w:r>
        <w:t xml:space="preserve">Purchase Order</w:t>
      </w:r>
      <w:r>
        <w:t xml:space="preserve">.</w:t>
      </w:r>
    </w:p>
    <w:p>
      <w:pPr>
        <w:numPr>
          <w:ilvl w:val="0"/>
          <w:numId w:val="1001"/>
        </w:numPr>
        <w:pStyle w:val="Compact"/>
      </w:pPr>
      <w:r>
        <w:rPr>
          <w:bCs/>
          <w:b/>
        </w:rPr>
        <w:t xml:space="preserve">Payment:</w:t>
      </w:r>
      <w:r>
        <w:t xml:space="preserve"> </w:t>
      </w:r>
      <w:r>
        <w:t xml:space="preserve">Payment of the full amount of € 46,093.20 shall be made via bank transfer to the supplier’s designated account within thirty (30) calendar days of the invoice date. Late payments shall incur interest at the rate of 1.5% per month, in accordance with French commercial law.</w:t>
      </w:r>
    </w:p>
    <w:p>
      <w:pPr>
        <w:numPr>
          <w:ilvl w:val="0"/>
          <w:numId w:val="1001"/>
        </w:numPr>
        <w:pStyle w:val="Compact"/>
      </w:pPr>
      <w:r>
        <w:rPr>
          <w:bCs/>
          <w:b/>
        </w:rPr>
        <w:t xml:space="preserve">Warranty:</w:t>
      </w:r>
      <w:r>
        <w:t xml:space="preserve"> </w:t>
      </w:r>
      <w:r>
        <w:t xml:space="preserve">All equipment items carry a minimum two-year manufacturer’s warranty. The supplier shall provide a dedicated after-sales service contact for the</w:t>
      </w:r>
      <w:r>
        <w:t xml:space="preserve"> </w:t>
      </w:r>
      <w:r>
        <w:t xml:space="preserve">Baker</w:t>
      </w:r>
      <w:r>
        <w:t xml:space="preserve"> </w:t>
      </w:r>
      <w:r>
        <w:t xml:space="preserve">in</w:t>
      </w:r>
      <w:r>
        <w:t xml:space="preserve"> </w:t>
      </w:r>
      <w:r>
        <w:t xml:space="preserve">France Marseille</w:t>
      </w:r>
      <w:r>
        <w:t xml:space="preserve"> </w:t>
      </w:r>
      <w:r>
        <w:t xml:space="preserve">for the duration of the warranty period.</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port closures affecting the Port of Marseille, or government-mandated restrictions.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France. Any disputes shall be submitted to the competent commercial court of Marseille, Bouches-du-Rhône.</w:t>
      </w:r>
    </w:p>
    <w:p>
      <w:pPr>
        <w:numPr>
          <w:ilvl w:val="0"/>
          <w:numId w:val="1001"/>
        </w:numPr>
        <w:pStyle w:val="Compact"/>
      </w:pPr>
      <w:r>
        <w:rPr>
          <w:bCs/>
          <w:b/>
        </w:rPr>
        <w:t xml:space="preserve">Confidentiality:</w:t>
      </w:r>
      <w:r>
        <w:t xml:space="preserve"> </w:t>
      </w:r>
      <w:r>
        <w:t xml:space="preserve">Both parties agree to treat the terms of this</w:t>
      </w:r>
      <w:r>
        <w:t xml:space="preserve"> </w:t>
      </w:r>
      <w:r>
        <w:t xml:space="preserve">Purchase Order</w:t>
      </w:r>
      <w:r>
        <w:t xml:space="preserve"> </w:t>
      </w:r>
      <w:r>
        <w:t xml:space="preserve">as confidential and shall not disclose pricing or commercial terms to third parties without prior written consent.</w:t>
      </w:r>
    </w:p>
    <w:bookmarkEnd w:id="24"/>
    <w:bookmarkStart w:id="25" w:name="authorisation-and-signatures"/>
    <w:p>
      <w:pPr>
        <w:pStyle w:val="Heading2"/>
      </w:pPr>
      <w:r>
        <w:t xml:space="preserve">5. Authorisation and Signatures</w:t>
      </w:r>
    </w:p>
    <w:p>
      <w:pPr>
        <w:pStyle w:val="FirstParagraph"/>
      </w:pPr>
      <w:r>
        <w:t xml:space="preserve">By signing below, both parties acknowledge and agree to all terms set forth in this</w:t>
      </w:r>
      <w:r>
        <w:t xml:space="preserve"> </w:t>
      </w:r>
      <w:r>
        <w:t xml:space="preserve">Purchase Order</w:t>
      </w:r>
      <w:r>
        <w:t xml:space="preserve">. The</w:t>
      </w:r>
      <w:r>
        <w:t xml:space="preserve"> </w:t>
      </w:r>
      <w:r>
        <w:t xml:space="preserve">Baker</w:t>
      </w:r>
      <w:r>
        <w:t xml:space="preserve"> </w:t>
      </w:r>
      <w:r>
        <w:t xml:space="preserve">confirms that the funds for this procurement have been allocated and that the</w:t>
      </w:r>
      <w:r>
        <w:t xml:space="preserve"> </w:t>
      </w:r>
      <w:r>
        <w:t xml:space="preserve">France Marseille</w:t>
      </w:r>
      <w:r>
        <w:t xml:space="preserve"> </w:t>
      </w:r>
      <w:r>
        <w:t xml:space="preserve">premises are prepared to receive and install the ordered goods. The supplier confirms availability of all listed items and commits to the delivery timeline specified herein.</w:t>
      </w:r>
    </w:p>
    <w:p>
      <w:pPr>
        <w:pStyle w:val="BodyText"/>
      </w:pPr>
      <w:r>
        <w:rPr>
          <w:bCs/>
          <w:b/>
        </w:rPr>
        <w:t xml:space="preserve">For the Buyer (Baker):</w:t>
      </w:r>
    </w:p>
    <w:p>
      <w:pPr>
        <w:pStyle w:val="BodyText"/>
      </w:pPr>
      <w:r>
        <w:t xml:space="preserve">Name: Henri Delacroix</w:t>
      </w:r>
    </w:p>
    <w:p>
      <w:pPr>
        <w:pStyle w:val="BodyText"/>
      </w:pPr>
      <w:r>
        <w:t xml:space="preserve">Title: Master Baker &amp; Proprietor</w:t>
      </w:r>
    </w:p>
    <w:p>
      <w:pPr>
        <w:pStyle w:val="BodyText"/>
      </w:pPr>
      <w:r>
        <w:t xml:space="preserve">Company: Maison Boulangerie du Port</w:t>
      </w:r>
    </w:p>
    <w:p>
      <w:pPr>
        <w:pStyle w:val="BodyText"/>
      </w:pPr>
      <w:r>
        <w:t xml:space="preserve">Location: France Marseille</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Supplier:</w:t>
      </w:r>
    </w:p>
    <w:p>
      <w:pPr>
        <w:pStyle w:val="BodyText"/>
      </w:pPr>
      <w:r>
        <w:t xml:space="preserve">Name: Camille Fontaine</w:t>
      </w:r>
    </w:p>
    <w:p>
      <w:pPr>
        <w:pStyle w:val="BodyText"/>
      </w:pPr>
      <w:r>
        <w:t xml:space="preserve">Title: Sales Director</w:t>
      </w:r>
    </w:p>
    <w:p>
      <w:pPr>
        <w:pStyle w:val="BodyText"/>
      </w:pPr>
      <w:r>
        <w:t xml:space="preserve">Company: Provence Artisanal Supplies SARL</w:t>
      </w:r>
    </w:p>
    <w:p>
      <w:pPr>
        <w:pStyle w:val="BodyText"/>
      </w:pPr>
      <w:r>
        <w:t xml:space="preserve">Location: France Marseille</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(PO-FR-MRS-2025-00472) was prepared for the Baker at Maison Boulangerie du Port, France Marseille. All references to "Baker" denote the professional artisan bread and pastry maker operating at the specified France Marseille location. This document is valid for a period of 60 days from the date of issue. For queries, contact the Buyer’s office at +33 4 91 00 00 00 or the Supplier’s office at +33 4 91 00 00 01.</w:t>
      </w:r>
    </w:p>
    <w:p>
      <w:pPr>
        <w:pStyle w:val="BodyText"/>
      </w:pPr>
      <w:r>
        <w:t xml:space="preserve">© 2025 Maison Boulangerie du Port — France Marseille.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Supply - France Marseille</dc:title>
  <dc:creator/>
  <dc:language>en</dc:language>
  <cp:keywords/>
  <dcterms:created xsi:type="dcterms:W3CDTF">2026-10-10T08:00:42Z</dcterms:created>
  <dcterms:modified xsi:type="dcterms:W3CDTF">2026-10-10T08:00:42Z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