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Baker &amp; Artisanal Provisions — France Paris</w:t>
      </w:r>
    </w:p>
    <w:p>
      <w:pPr>
        <w:pStyle w:val="BodyText"/>
      </w:pPr>
      <w:r>
        <w:rPr>
          <w:bCs/>
          <w:b/>
        </w:rPr>
        <w:t xml:space="preserve">Purchase Order No.:</w:t>
      </w:r>
      <w:r>
        <w:t xml:space="preserve"> </w:t>
      </w:r>
      <w:r>
        <w:t xml:space="preserve">PO-FR-2025-04872  | </w:t>
      </w:r>
      <w:r>
        <w:t xml:space="preserve"> </w:t>
      </w:r>
      <w:r>
        <w:rPr>
          <w:bCs/>
          <w:b/>
        </w:rPr>
        <w:t xml:space="preserve">Status:</w:t>
      </w:r>
      <w:r>
        <w:t xml:space="preserve"> </w:t>
      </w:r>
      <w:r>
        <w:t xml:space="preserve">ACTIVE</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EUR (€)</w:t>
      </w:r>
    </w:p>
    <w:p>
      <w:pPr>
        <w:pStyle w:val="BodyText"/>
      </w:pPr>
      <w:r>
        <w:rPr>
          <w:bCs/>
          <w:b/>
        </w:rPr>
        <w:t xml:space="preserve">Delivery Location:</w:t>
      </w:r>
      <w:r>
        <w:t xml:space="preserve"> </w:t>
      </w:r>
      <w:r>
        <w:t xml:space="preserve">France Paris</w:t>
      </w:r>
      <w:r>
        <w:br/>
      </w:r>
      <w:r>
        <w:rPr>
          <w:bCs/>
          <w:b/>
        </w:rPr>
        <w:t xml:space="preserve">Payment Terms:</w:t>
      </w:r>
      <w:r>
        <w:t xml:space="preserve"> </w:t>
      </w:r>
      <w:r>
        <w:t xml:space="preserve">Net 30 Days</w:t>
      </w:r>
      <w:r>
        <w:br/>
      </w:r>
      <w:r>
        <w:rPr>
          <w:bCs/>
          <w:b/>
        </w:rPr>
        <w:t xml:space="preserve">Incoterms:</w:t>
      </w:r>
      <w:r>
        <w:t xml:space="preserve"> </w:t>
      </w:r>
      <w:r>
        <w:t xml:space="preserve">DAP Paris</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Groupe Alimentaire de la Capitale SARL</w:t>
            </w:r>
          </w:p>
        </w:tc>
      </w:tr>
      <w:tr>
        <w:tc>
          <w:tcPr/>
          <w:p>
            <w:pPr>
              <w:pStyle w:val="Compact"/>
              <w:jc w:val="left"/>
            </w:pPr>
            <w:r>
              <w:t xml:space="preserve">Address</w:t>
            </w:r>
          </w:p>
        </w:tc>
        <w:tc>
          <w:tcPr/>
          <w:p>
            <w:pPr>
              <w:pStyle w:val="Compact"/>
              <w:jc w:val="left"/>
            </w:pPr>
            <w:r>
              <w:t xml:space="preserve">42 Rue de Rivoli, 75001 Paris, France</w:t>
            </w:r>
          </w:p>
        </w:tc>
      </w:tr>
      <w:tr>
        <w:tc>
          <w:tcPr/>
          <w:p>
            <w:pPr>
              <w:pStyle w:val="Compact"/>
              <w:jc w:val="left"/>
            </w:pPr>
            <w:r>
              <w:t xml:space="preserve">Contact Person</w:t>
            </w:r>
          </w:p>
        </w:tc>
        <w:tc>
          <w:tcPr/>
          <w:p>
            <w:pPr>
              <w:pStyle w:val="Compact"/>
              <w:jc w:val="left"/>
            </w:pPr>
            <w:r>
              <w:t xml:space="preserve">Mme. Claire Dubois, Procurement Director</w:t>
            </w:r>
          </w:p>
        </w:tc>
      </w:tr>
      <w:tr>
        <w:tc>
          <w:tcPr/>
          <w:p>
            <w:pPr>
              <w:pStyle w:val="Compact"/>
              <w:jc w:val="left"/>
            </w:pPr>
            <w:r>
              <w:t xml:space="preserve">Telephone</w:t>
            </w:r>
          </w:p>
        </w:tc>
        <w:tc>
          <w:tcPr/>
          <w:p>
            <w:pPr>
              <w:pStyle w:val="Compact"/>
              <w:jc w:val="left"/>
            </w:pPr>
            <w:r>
              <w:t xml:space="preserve">+33 1 42 60 38 71</w:t>
            </w:r>
          </w:p>
        </w:tc>
      </w:tr>
      <w:tr>
        <w:tc>
          <w:tcPr/>
          <w:p>
            <w:pPr>
              <w:pStyle w:val="Compact"/>
              <w:jc w:val="left"/>
            </w:pPr>
            <w:r>
              <w:t xml:space="preserve">Email</w:t>
            </w:r>
          </w:p>
        </w:tc>
        <w:tc>
          <w:tcPr/>
          <w:p>
            <w:pPr>
              <w:pStyle w:val="Compact"/>
              <w:jc w:val="left"/>
            </w:pPr>
            <w:r>
              <w:t xml:space="preserve">procurement@capitale-alimentaire.fr</w:t>
            </w:r>
          </w:p>
        </w:tc>
      </w:tr>
      <w:tr>
        <w:tc>
          <w:tcPr/>
          <w:p>
            <w:pPr>
              <w:pStyle w:val="Compact"/>
              <w:jc w:val="left"/>
            </w:pPr>
            <w:r>
              <w:t xml:space="preserve">SIRET Number</w:t>
            </w:r>
          </w:p>
        </w:tc>
        <w:tc>
          <w:tcPr/>
          <w:p>
            <w:pPr>
              <w:pStyle w:val="Compact"/>
              <w:jc w:val="left"/>
            </w:pPr>
            <w:r>
              <w:t xml:space="preserve">842 517 394 00021</w:t>
            </w:r>
          </w:p>
        </w:tc>
      </w:tr>
      <w:tr>
        <w:tc>
          <w:tcPr/>
          <w:p>
            <w:pPr>
              <w:pStyle w:val="Compact"/>
              <w:jc w:val="left"/>
            </w:pPr>
            <w:r>
              <w:t xml:space="preserve">VAT Number</w:t>
            </w:r>
          </w:p>
        </w:tc>
        <w:tc>
          <w:tcPr/>
          <w:p>
            <w:pPr>
              <w:pStyle w:val="Compact"/>
              <w:jc w:val="left"/>
            </w:pPr>
            <w:r>
              <w:t xml:space="preserve">FR 42 842517394</w:t>
            </w:r>
          </w:p>
        </w:tc>
      </w:tr>
    </w:tbl>
    <w:p>
      <w:pPr>
        <w:pStyle w:val="BodyText"/>
      </w:pPr>
      <w:r>
        <w:t xml:space="preserve">2. Supplier (Baker)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Maison Boulangerie Le Fournil Doré</w:t>
            </w:r>
          </w:p>
        </w:tc>
      </w:tr>
      <w:tr>
        <w:tc>
          <w:tcPr/>
          <w:p>
            <w:pPr>
              <w:pStyle w:val="Compact"/>
              <w:jc w:val="left"/>
            </w:pPr>
            <w:r>
              <w:t xml:space="preserve">Address</w:t>
            </w:r>
          </w:p>
        </w:tc>
        <w:tc>
          <w:tcPr/>
          <w:p>
            <w:pPr>
              <w:pStyle w:val="Compact"/>
              <w:jc w:val="left"/>
            </w:pPr>
            <w:r>
              <w:t xml:space="preserve">18 Rue des Boulangers, 75011 Paris, France</w:t>
            </w:r>
          </w:p>
        </w:tc>
      </w:tr>
      <w:tr>
        <w:tc>
          <w:tcPr/>
          <w:p>
            <w:pPr>
              <w:pStyle w:val="Compact"/>
              <w:jc w:val="left"/>
            </w:pPr>
            <w:r>
              <w:t xml:space="preserve">Contact Person</w:t>
            </w:r>
          </w:p>
        </w:tc>
        <w:tc>
          <w:tcPr/>
          <w:p>
            <w:pPr>
              <w:pStyle w:val="Compact"/>
              <w:jc w:val="left"/>
            </w:pPr>
            <w:r>
              <w:t xml:space="preserve">M. Antoine Lefèvre, Master Baker &amp; Proprietor</w:t>
            </w:r>
          </w:p>
        </w:tc>
      </w:tr>
      <w:tr>
        <w:tc>
          <w:tcPr/>
          <w:p>
            <w:pPr>
              <w:pStyle w:val="Compact"/>
              <w:jc w:val="left"/>
            </w:pPr>
            <w:r>
              <w:t xml:space="preserve">Telephone</w:t>
            </w:r>
          </w:p>
        </w:tc>
        <w:tc>
          <w:tcPr/>
          <w:p>
            <w:pPr>
              <w:pStyle w:val="Compact"/>
              <w:jc w:val="left"/>
            </w:pPr>
            <w:r>
              <w:t xml:space="preserve">+33 1 43 55 22 08</w:t>
            </w:r>
          </w:p>
        </w:tc>
      </w:tr>
      <w:tr>
        <w:tc>
          <w:tcPr/>
          <w:p>
            <w:pPr>
              <w:pStyle w:val="Compact"/>
              <w:jc w:val="left"/>
            </w:pPr>
            <w:r>
              <w:t xml:space="preserve">Email</w:t>
            </w:r>
          </w:p>
        </w:tc>
        <w:tc>
          <w:tcPr/>
          <w:p>
            <w:pPr>
              <w:pStyle w:val="Compact"/>
              <w:jc w:val="left"/>
            </w:pPr>
            <w:r>
              <w:t xml:space="preserve">orders@fournil-dore-paris.fr</w:t>
            </w:r>
          </w:p>
        </w:tc>
      </w:tr>
      <w:tr>
        <w:tc>
          <w:tcPr/>
          <w:p>
            <w:pPr>
              <w:pStyle w:val="Compact"/>
              <w:jc w:val="left"/>
            </w:pPr>
            <w:r>
              <w:t xml:space="preserve">SIRET Number</w:t>
            </w:r>
          </w:p>
        </w:tc>
        <w:tc>
          <w:tcPr/>
          <w:p>
            <w:pPr>
              <w:pStyle w:val="Compact"/>
              <w:jc w:val="left"/>
            </w:pPr>
            <w:r>
              <w:t xml:space="preserve">519 334 872 00015</w:t>
            </w:r>
          </w:p>
        </w:tc>
      </w:tr>
      <w:tr>
        <w:tc>
          <w:tcPr/>
          <w:p>
            <w:pPr>
              <w:pStyle w:val="Compact"/>
              <w:jc w:val="left"/>
            </w:pPr>
            <w:r>
              <w:t xml:space="preserve">VAT Number</w:t>
            </w:r>
          </w:p>
        </w:tc>
        <w:tc>
          <w:tcPr/>
          <w:p>
            <w:pPr>
              <w:pStyle w:val="Compact"/>
              <w:jc w:val="left"/>
            </w:pPr>
            <w:r>
              <w:t xml:space="preserve">FR 78 519334872</w:t>
            </w:r>
          </w:p>
        </w:tc>
      </w:tr>
      <w:tr>
        <w:tc>
          <w:tcPr/>
          <w:p>
            <w:pPr>
              <w:pStyle w:val="Compact"/>
              <w:jc w:val="left"/>
            </w:pPr>
            <w:r>
              <w:t xml:space="preserve">Specialization</w:t>
            </w:r>
          </w:p>
        </w:tc>
        <w:tc>
          <w:tcPr/>
          <w:p>
            <w:pPr>
              <w:pStyle w:val="Compact"/>
              <w:jc w:val="left"/>
            </w:pPr>
            <w:r>
              <w:t xml:space="preserve">Artisanal Baker producing traditional French breads, viennoiserie, and specialty pastries for wholesale distribution across France Paris and surrounding metropolitan areas.</w:t>
            </w:r>
          </w:p>
        </w:tc>
      </w:tr>
    </w:tbl>
    <w:p>
      <w:pPr>
        <w:pStyle w:val="BodyText"/>
      </w:pPr>
      <w:r>
        <w:t xml:space="preserve">3. 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Baguette Tradition de Paris (750 g) — baked fresh daily by the Baker at the France Paris workshop</w:t>
            </w:r>
          </w:p>
        </w:tc>
        <w:tc>
          <w:tcPr/>
          <w:p>
            <w:pPr>
              <w:pStyle w:val="Compact"/>
              <w:jc w:val="left"/>
            </w:pPr>
            <w:r>
              <w:t xml:space="preserve">Box of 50</w:t>
            </w:r>
          </w:p>
        </w:tc>
        <w:tc>
          <w:tcPr/>
          <w:p>
            <w:pPr>
              <w:pStyle w:val="Compact"/>
              <w:jc w:val="left"/>
            </w:pPr>
            <w:r>
              <w:t xml:space="preserve">200</w:t>
            </w:r>
          </w:p>
        </w:tc>
        <w:tc>
          <w:tcPr/>
          <w:p>
            <w:pPr>
              <w:pStyle w:val="Compact"/>
              <w:jc w:val="left"/>
            </w:pPr>
            <w:r>
              <w:t xml:space="preserve">38.50</w:t>
            </w:r>
          </w:p>
        </w:tc>
        <w:tc>
          <w:tcPr/>
          <w:p>
            <w:pPr>
              <w:pStyle w:val="Compact"/>
              <w:jc w:val="left"/>
            </w:pPr>
            <w:r>
              <w:t xml:space="preserve">7,700.00</w:t>
            </w:r>
          </w:p>
        </w:tc>
      </w:tr>
      <w:tr>
        <w:tc>
          <w:tcPr/>
          <w:p>
            <w:pPr>
              <w:pStyle w:val="Compact"/>
              <w:jc w:val="left"/>
            </w:pPr>
            <w:r>
              <w:t xml:space="preserve">02</w:t>
            </w:r>
          </w:p>
        </w:tc>
        <w:tc>
          <w:tcPr/>
          <w:p>
            <w:pPr>
              <w:pStyle w:val="Compact"/>
              <w:jc w:val="left"/>
            </w:pPr>
            <w:r>
              <w:t xml:space="preserve">Crème Pâtissière Croissant (Artisanal, Butter) — prepared by the Baker using AOP butter</w:t>
            </w:r>
          </w:p>
        </w:tc>
        <w:tc>
          <w:tcPr/>
          <w:p>
            <w:pPr>
              <w:pStyle w:val="Compact"/>
              <w:jc w:val="left"/>
            </w:pPr>
            <w:r>
              <w:t xml:space="preserve">Box of 24</w:t>
            </w:r>
          </w:p>
        </w:tc>
        <w:tc>
          <w:tcPr/>
          <w:p>
            <w:pPr>
              <w:pStyle w:val="Compact"/>
              <w:jc w:val="left"/>
            </w:pPr>
            <w:r>
              <w:t xml:space="preserve">150</w:t>
            </w:r>
          </w:p>
        </w:tc>
        <w:tc>
          <w:tcPr/>
          <w:p>
            <w:pPr>
              <w:pStyle w:val="Compact"/>
              <w:jc w:val="left"/>
            </w:pPr>
            <w:r>
              <w:t xml:space="preserve">52.00</w:t>
            </w:r>
          </w:p>
        </w:tc>
        <w:tc>
          <w:tcPr/>
          <w:p>
            <w:pPr>
              <w:pStyle w:val="Compact"/>
              <w:jc w:val="left"/>
            </w:pPr>
            <w:r>
              <w:t xml:space="preserve">7,800.00</w:t>
            </w:r>
          </w:p>
        </w:tc>
      </w:tr>
      <w:tr>
        <w:tc>
          <w:tcPr/>
          <w:p>
            <w:pPr>
              <w:pStyle w:val="Compact"/>
              <w:jc w:val="left"/>
            </w:pPr>
            <w:r>
              <w:t xml:space="preserve">03</w:t>
            </w:r>
          </w:p>
        </w:tc>
        <w:tc>
          <w:tcPr/>
          <w:p>
            <w:pPr>
              <w:pStyle w:val="Compact"/>
              <w:jc w:val="left"/>
            </w:pPr>
            <w:r>
              <w:t xml:space="preserve">Pain au Chocolat Double (70 g) — hand-rolled by the Baker in France Paris</w:t>
            </w:r>
          </w:p>
        </w:tc>
        <w:tc>
          <w:tcPr/>
          <w:p>
            <w:pPr>
              <w:pStyle w:val="Compact"/>
              <w:jc w:val="left"/>
            </w:pPr>
            <w:r>
              <w:t xml:space="preserve">Box of 24</w:t>
            </w:r>
          </w:p>
        </w:tc>
        <w:tc>
          <w:tcPr/>
          <w:p>
            <w:pPr>
              <w:pStyle w:val="Compact"/>
              <w:jc w:val="left"/>
            </w:pPr>
            <w:r>
              <w:t xml:space="preserve">120</w:t>
            </w:r>
          </w:p>
        </w:tc>
        <w:tc>
          <w:tcPr/>
          <w:p>
            <w:pPr>
              <w:pStyle w:val="Compact"/>
              <w:jc w:val="left"/>
            </w:pPr>
            <w:r>
              <w:t xml:space="preserve">48.00</w:t>
            </w:r>
          </w:p>
        </w:tc>
        <w:tc>
          <w:tcPr/>
          <w:p>
            <w:pPr>
              <w:pStyle w:val="Compact"/>
              <w:jc w:val="left"/>
            </w:pPr>
            <w:r>
              <w:t xml:space="preserve">5,760.00</w:t>
            </w:r>
          </w:p>
        </w:tc>
      </w:tr>
      <w:tr>
        <w:tc>
          <w:tcPr/>
          <w:p>
            <w:pPr>
              <w:pStyle w:val="Compact"/>
              <w:jc w:val="left"/>
            </w:pPr>
            <w:r>
              <w:t xml:space="preserve">04</w:t>
            </w:r>
          </w:p>
        </w:tc>
        <w:tc>
          <w:tcPr/>
          <w:p>
            <w:pPr>
              <w:pStyle w:val="Compact"/>
              <w:jc w:val="left"/>
            </w:pPr>
            <w:r>
              <w:t xml:space="preserve">Brioche Parisienne (400 g) — enriched dough, natural yeast, produced by the Baker</w:t>
            </w:r>
          </w:p>
        </w:tc>
        <w:tc>
          <w:tcPr/>
          <w:p>
            <w:pPr>
              <w:pStyle w:val="Compact"/>
              <w:jc w:val="left"/>
            </w:pPr>
            <w:r>
              <w:t xml:space="preserve">Box of 12</w:t>
            </w:r>
          </w:p>
        </w:tc>
        <w:tc>
          <w:tcPr/>
          <w:p>
            <w:pPr>
              <w:pStyle w:val="Compact"/>
              <w:jc w:val="left"/>
            </w:pPr>
            <w:r>
              <w:t xml:space="preserve">100</w:t>
            </w:r>
          </w:p>
        </w:tc>
        <w:tc>
          <w:tcPr/>
          <w:p>
            <w:pPr>
              <w:pStyle w:val="Compact"/>
              <w:jc w:val="left"/>
            </w:pPr>
            <w:r>
              <w:t xml:space="preserve">44.00</w:t>
            </w:r>
          </w:p>
        </w:tc>
        <w:tc>
          <w:tcPr/>
          <w:p>
            <w:pPr>
              <w:pStyle w:val="Compact"/>
              <w:jc w:val="left"/>
            </w:pPr>
            <w:r>
              <w:t xml:space="preserve">4,400.00</w:t>
            </w:r>
          </w:p>
        </w:tc>
      </w:tr>
      <w:tr>
        <w:tc>
          <w:tcPr/>
          <w:p>
            <w:pPr>
              <w:pStyle w:val="Compact"/>
              <w:jc w:val="left"/>
            </w:pPr>
            <w:r>
              <w:t xml:space="preserve">05</w:t>
            </w:r>
          </w:p>
        </w:tc>
        <w:tc>
          <w:tcPr/>
          <w:p>
            <w:pPr>
              <w:pStyle w:val="Compact"/>
              <w:jc w:val="left"/>
            </w:pPr>
            <w:r>
              <w:t xml:space="preserve">Tarte au Citron de Menton (Whole, 25 cm) — seasonal pastry crafted by the Baker</w:t>
            </w:r>
          </w:p>
        </w:tc>
        <w:tc>
          <w:tcPr/>
          <w:p>
            <w:pPr>
              <w:pStyle w:val="Compact"/>
              <w:jc w:val="left"/>
            </w:pPr>
            <w:r>
              <w:t xml:space="preserve">Unit</w:t>
            </w:r>
          </w:p>
        </w:tc>
        <w:tc>
          <w:tcPr/>
          <w:p>
            <w:pPr>
              <w:pStyle w:val="Compact"/>
              <w:jc w:val="left"/>
            </w:pPr>
            <w:r>
              <w:t xml:space="preserve">80</w:t>
            </w:r>
          </w:p>
        </w:tc>
        <w:tc>
          <w:tcPr/>
          <w:p>
            <w:pPr>
              <w:pStyle w:val="Compact"/>
              <w:jc w:val="left"/>
            </w:pPr>
            <w:r>
              <w:t xml:space="preserve">18.50</w:t>
            </w:r>
          </w:p>
        </w:tc>
        <w:tc>
          <w:tcPr/>
          <w:p>
            <w:pPr>
              <w:pStyle w:val="Compact"/>
              <w:jc w:val="left"/>
            </w:pPr>
            <w:r>
              <w:t xml:space="preserve">1,480.00</w:t>
            </w:r>
          </w:p>
        </w:tc>
      </w:tr>
      <w:tr>
        <w:tc>
          <w:tcPr/>
          <w:p>
            <w:pPr>
              <w:pStyle w:val="Compact"/>
              <w:jc w:val="left"/>
            </w:pPr>
            <w:r>
              <w:t xml:space="preserve">06</w:t>
            </w:r>
          </w:p>
        </w:tc>
        <w:tc>
          <w:tcPr/>
          <w:p>
            <w:pPr>
              <w:pStyle w:val="Compact"/>
              <w:jc w:val="left"/>
            </w:pPr>
            <w:r>
              <w:t xml:space="preserve">Pain de Campagne (1 kg) — sourdough loaf, 48-hour fermentation, by the Baker</w:t>
            </w:r>
          </w:p>
        </w:tc>
        <w:tc>
          <w:tcPr/>
          <w:p>
            <w:pPr>
              <w:pStyle w:val="Compact"/>
              <w:jc w:val="left"/>
            </w:pPr>
            <w:r>
              <w:t xml:space="preserve">Box of 20</w:t>
            </w:r>
          </w:p>
        </w:tc>
        <w:tc>
          <w:tcPr/>
          <w:p>
            <w:pPr>
              <w:pStyle w:val="Compact"/>
              <w:jc w:val="left"/>
            </w:pPr>
            <w:r>
              <w:t xml:space="preserve">100</w:t>
            </w:r>
          </w:p>
        </w:tc>
        <w:tc>
          <w:tcPr/>
          <w:p>
            <w:pPr>
              <w:pStyle w:val="Compact"/>
              <w:jc w:val="left"/>
            </w:pPr>
            <w:r>
              <w:t xml:space="preserve">62.00</w:t>
            </w:r>
          </w:p>
        </w:tc>
        <w:tc>
          <w:tcPr/>
          <w:p>
            <w:pPr>
              <w:pStyle w:val="Compact"/>
              <w:jc w:val="left"/>
            </w:pPr>
            <w:r>
              <w:t xml:space="preserve">6,200.00</w:t>
            </w:r>
          </w:p>
        </w:tc>
      </w:tr>
      <w:tr>
        <w:tc>
          <w:tcPr/>
          <w:p>
            <w:pPr>
              <w:pStyle w:val="Compact"/>
              <w:jc w:val="left"/>
            </w:pPr>
            <w:r>
              <w:t xml:space="preserve">07</w:t>
            </w:r>
          </w:p>
        </w:tc>
        <w:tc>
          <w:tcPr/>
          <w:p>
            <w:pPr>
              <w:pStyle w:val="Compact"/>
              <w:jc w:val="left"/>
            </w:pPr>
            <w:r>
              <w:t xml:space="preserve">Mille-Feuille Vanille de Madagascar (Individual) — dessert pastry by the Baker</w:t>
            </w:r>
          </w:p>
        </w:tc>
        <w:tc>
          <w:tcPr/>
          <w:p>
            <w:pPr>
              <w:pStyle w:val="Compact"/>
              <w:jc w:val="left"/>
            </w:pPr>
            <w:r>
              <w:t xml:space="preserve">Box of 12</w:t>
            </w:r>
          </w:p>
        </w:tc>
        <w:tc>
          <w:tcPr/>
          <w:p>
            <w:pPr>
              <w:pStyle w:val="Compact"/>
              <w:jc w:val="left"/>
            </w:pPr>
            <w:r>
              <w:t xml:space="preserve">60</w:t>
            </w:r>
          </w:p>
        </w:tc>
        <w:tc>
          <w:tcPr/>
          <w:p>
            <w:pPr>
              <w:pStyle w:val="Compact"/>
              <w:jc w:val="left"/>
            </w:pPr>
            <w:r>
              <w:t xml:space="preserve">72.00</w:t>
            </w:r>
          </w:p>
        </w:tc>
        <w:tc>
          <w:tcPr/>
          <w:p>
            <w:pPr>
              <w:pStyle w:val="Compact"/>
              <w:jc w:val="left"/>
            </w:pPr>
            <w:r>
              <w:t xml:space="preserve">4,320.00</w:t>
            </w:r>
          </w:p>
        </w:tc>
      </w:tr>
      <w:tr>
        <w:tc>
          <w:tcPr/>
          <w:p>
            <w:pPr>
              <w:pStyle w:val="Compact"/>
              <w:jc w:val="left"/>
            </w:pPr>
            <w:r>
              <w:t xml:space="preserve">08</w:t>
            </w:r>
          </w:p>
        </w:tc>
        <w:tc>
          <w:tcPr/>
          <w:p>
            <w:pPr>
              <w:pStyle w:val="Compact"/>
              <w:jc w:val="left"/>
            </w:pPr>
            <w:r>
              <w:t xml:space="preserve">Delivery &amp; Cold-Chain Logistics within France Paris metropolitan area</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right"/>
            </w:pPr>
            <w:r>
              <w:t xml:space="preserve">Subtotal</w:t>
            </w:r>
          </w:p>
        </w:tc>
        <w:tc>
          <w:tcPr/>
          <w:p>
            <w:pPr>
              <w:pStyle w:val="Compact"/>
              <w:jc w:val="left"/>
            </w:pPr>
            <w:r>
              <w:t xml:space="preserve">38,110.00</w:t>
            </w:r>
          </w:p>
        </w:tc>
      </w:tr>
      <w:tr>
        <w:tc>
          <w:tcPr>
            <w:gridSpan w:val="5"/>
          </w:tcPr>
          <w:p>
            <w:pPr>
              <w:pStyle w:val="Compact"/>
              <w:jc w:val="right"/>
            </w:pPr>
            <w:r>
              <w:t xml:space="preserve">VAT (TVA) 5.5% — Food Products</w:t>
            </w:r>
          </w:p>
        </w:tc>
        <w:tc>
          <w:tcPr/>
          <w:p>
            <w:pPr>
              <w:pStyle w:val="Compact"/>
              <w:jc w:val="left"/>
            </w:pPr>
            <w:r>
              <w:t xml:space="preserve">2,096.05</w:t>
            </w:r>
          </w:p>
        </w:tc>
      </w:tr>
      <w:tr>
        <w:tc>
          <w:tcPr>
            <w:gridSpan w:val="5"/>
          </w:tcPr>
          <w:p>
            <w:pPr>
              <w:pStyle w:val="Compact"/>
              <w:jc w:val="right"/>
            </w:pPr>
            <w:r>
              <w:t xml:space="preserve">VAT (TVA) 20% — Delivery Service</w:t>
            </w:r>
          </w:p>
        </w:tc>
        <w:tc>
          <w:tcPr/>
          <w:p>
            <w:pPr>
              <w:pStyle w:val="Compact"/>
              <w:jc w:val="left"/>
            </w:pPr>
            <w:r>
              <w:t xml:space="preserve">90.00</w:t>
            </w:r>
          </w:p>
        </w:tc>
      </w:tr>
      <w:tr>
        <w:tc>
          <w:tcPr>
            <w:gridSpan w:val="5"/>
          </w:tcPr>
          <w:p>
            <w:pPr>
              <w:pStyle w:val="Compact"/>
              <w:jc w:val="right"/>
            </w:pPr>
            <w:r>
              <w:rPr>
                <w:bCs/>
                <w:b/>
              </w:rPr>
              <w:t xml:space="preserve">GRAND TOTAL (EUR)</w:t>
            </w:r>
          </w:p>
        </w:tc>
        <w:tc>
          <w:tcPr/>
          <w:p>
            <w:pPr>
              <w:pStyle w:val="Compact"/>
              <w:jc w:val="left"/>
            </w:pPr>
            <w:r>
              <w:rPr>
                <w:bCs/>
                <w:b/>
              </w:rPr>
              <w:t xml:space="preserve">40,296.05</w:t>
            </w:r>
          </w:p>
        </w:tc>
      </w:tr>
    </w:tbl>
    <w:p>
      <w:pPr>
        <w:pStyle w:val="BodyText"/>
      </w:pPr>
      <w:r>
        <w:t xml:space="preserve">4. Delivery &amp; Logistics</w:t>
      </w:r>
    </w:p>
    <w:p>
      <w:pPr>
        <w:pStyle w:val="BodyText"/>
      </w:pPr>
      <w:r>
        <w:t xml:space="preserve">This Purchase Order mandates the Baker, Maison Boulangerie Le Fournil Doré, to deliver all specified artisanal products to the buyer's central distribution warehouse located at 42 Rue de Rivoli, 75001 Paris, France. All deliveries must be completed between 04:00 and 07:00 CET on each agreed delivery day to ensure maximum freshness upon arrival. The Baker is responsible for maintaining a continuous cold chain at a temperature not exceeding 4 °C for all viennoiserie and pastry items throughout transit within France Paris. Delivery vehicles must be registered and insured for operation within the France Paris metropolitan zone and must comply with all local traffic regulations applicable to commercial vehicles in the city of Paris.</w:t>
      </w:r>
    </w:p>
    <w:p>
      <w:pPr>
        <w:pStyle w:val="BodyText"/>
      </w:pPr>
      <w:r>
        <w:t xml:space="preserve">5. Terms &amp; Conditions</w:t>
      </w:r>
    </w:p>
    <w:p>
      <w:pPr>
        <w:numPr>
          <w:ilvl w:val="0"/>
          <w:numId w:val="1001"/>
        </w:numPr>
        <w:pStyle w:val="Compact"/>
      </w:pPr>
      <w:r>
        <w:rPr>
          <w:bCs/>
          <w:b/>
        </w:rPr>
        <w:t xml:space="preserve">Acceptance:</w:t>
      </w:r>
      <w:r>
        <w:t xml:space="preserve"> </w:t>
      </w:r>
      <w:r>
        <w:t xml:space="preserve">This Purchase Order becomes binding upon written or electronic acceptance by the Baker. The Baker shall confirm acceptance within two (2) business days of receipt of this document.</w:t>
      </w:r>
    </w:p>
    <w:p>
      <w:pPr>
        <w:numPr>
          <w:ilvl w:val="0"/>
          <w:numId w:val="1001"/>
        </w:numPr>
        <w:pStyle w:val="Compact"/>
      </w:pPr>
      <w:r>
        <w:rPr>
          <w:bCs/>
          <w:b/>
        </w:rPr>
        <w:t xml:space="preserve">Quality Standards:</w:t>
      </w:r>
      <w:r>
        <w:t xml:space="preserve"> </w:t>
      </w:r>
      <w:r>
        <w:t xml:space="preserve">All products supplied by the Baker must conform to the specifications outlined in this Purchase Order and must meet the hygiene and food-safety standards established by the French Directorate General for Competition Policy, Consumer Protection and Fraud Control (DGCCRF) and applicable European Union food regulations.</w:t>
      </w:r>
    </w:p>
    <w:p>
      <w:pPr>
        <w:numPr>
          <w:ilvl w:val="0"/>
          <w:numId w:val="1001"/>
        </w:numPr>
        <w:pStyle w:val="Compact"/>
      </w:pPr>
      <w:r>
        <w:rPr>
          <w:bCs/>
          <w:b/>
        </w:rPr>
        <w:t xml:space="preserve">Rejection Rights:</w:t>
      </w:r>
      <w:r>
        <w:t xml:space="preserve"> </w:t>
      </w:r>
      <w:r>
        <w:t xml:space="preserve">The buyer reserves the right to reject any lot of goods that does not meet the agreed quality, freshness, or presentation standards. Rejected items must be collected by the Baker at the Baker's own expense within twenty-four (24) hours of notification.</w:t>
      </w:r>
    </w:p>
    <w:p>
      <w:pPr>
        <w:numPr>
          <w:ilvl w:val="0"/>
          <w:numId w:val="1001"/>
        </w:numPr>
        <w:pStyle w:val="Compact"/>
      </w:pPr>
      <w:r>
        <w:rPr>
          <w:bCs/>
          <w:b/>
        </w:rPr>
        <w:t xml:space="preserve">Payment:</w:t>
      </w:r>
      <w:r>
        <w:t xml:space="preserve"> </w:t>
      </w:r>
      <w:r>
        <w:t xml:space="preserve">Payment of the total Purchase Order amount of €40,296.05 shall be made by bank transfer (virement) to the Baker's designated account within thirty (30) calendar days of the date of the final invoice, provided all goods have been accepted without reservation.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government-mandated closures, or supply-chain disruptions affecting the Baker's ability to produce goods in France Paris.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 arising from this Purchase Order shall be submitted to the exclusive jurisdiction of the Commercial Court of Paris (Tribunal de Commerce de Paris), France.</w:t>
      </w:r>
    </w:p>
    <w:p>
      <w:pPr>
        <w:numPr>
          <w:ilvl w:val="0"/>
          <w:numId w:val="1001"/>
        </w:numPr>
        <w:pStyle w:val="Compact"/>
      </w:pPr>
      <w:r>
        <w:rPr>
          <w:bCs/>
          <w:b/>
        </w:rPr>
        <w:t xml:space="preserve">Confidentiality:</w:t>
      </w:r>
      <w:r>
        <w:t xml:space="preserve"> </w:t>
      </w:r>
      <w:r>
        <w:t xml:space="preserve">Both parties agree to treat the pricing, quantities, and commercial terms contained in this Purchase Order as confidential information and shall not disclose them to third parties without prior written consent.</w:t>
      </w:r>
    </w:p>
    <w:p>
      <w:pPr>
        <w:numPr>
          <w:ilvl w:val="0"/>
          <w:numId w:val="1001"/>
        </w:numPr>
        <w:pStyle w:val="Compact"/>
      </w:pPr>
      <w:r>
        <w:rPr>
          <w:bCs/>
          <w:b/>
        </w:rPr>
        <w:t xml:space="preserve">Amendments:</w:t>
      </w:r>
      <w:r>
        <w:t xml:space="preserve"> </w:t>
      </w:r>
      <w:r>
        <w:t xml:space="preserve">Any modification to this Purchase Order, including changes to quantities, delivery schedules, or product specifications, must be documented in a written amendment signed by both the buyer and the Baker.</w:t>
      </w:r>
    </w:p>
    <w:p>
      <w:pPr>
        <w:pStyle w:val="FirstParagraph"/>
      </w:pPr>
      <w:r>
        <w:t xml:space="preserve">6. Authorisation &amp; Signatures</w:t>
      </w:r>
    </w:p>
    <w:p>
      <w:pPr>
        <w:pStyle w:val="BodyText"/>
      </w:pPr>
      <w:r>
        <w:rPr>
          <w:bCs/>
          <w:b/>
        </w:rPr>
        <w:t xml:space="preserve">For the Buyer:</w:t>
      </w:r>
      <w:r>
        <w:br/>
      </w:r>
      <w:r>
        <w:t xml:space="preserve">Groupe Alimentaire de la Capitale SARL</w:t>
      </w:r>
    </w:p>
    <w:p>
      <w:pPr>
        <w:pStyle w:val="BodyText"/>
      </w:pPr>
      <w:r>
        <w:t xml:space="preserve">Mme. Claire Dubois</w:t>
      </w:r>
      <w:r>
        <w:br/>
      </w:r>
      <w:r>
        <w:t xml:space="preserve">Procurement Director</w:t>
      </w:r>
      <w:r>
        <w:br/>
      </w:r>
      <w:r>
        <w:t xml:space="preserve">Date: _______________</w:t>
      </w:r>
    </w:p>
    <w:p>
      <w:pPr>
        <w:pStyle w:val="BodyText"/>
      </w:pPr>
      <w:r>
        <w:rPr>
          <w:bCs/>
          <w:b/>
        </w:rPr>
        <w:t xml:space="preserve">For the Baker (Supplier):</w:t>
      </w:r>
      <w:r>
        <w:br/>
      </w:r>
      <w:r>
        <w:t xml:space="preserve">Maison Boulangerie Le Fournil Doré</w:t>
      </w:r>
    </w:p>
    <w:p>
      <w:pPr>
        <w:pStyle w:val="BodyText"/>
      </w:pPr>
      <w:r>
        <w:t xml:space="preserve">M. Antoine Lefèvre</w:t>
      </w:r>
      <w:r>
        <w:br/>
      </w:r>
      <w:r>
        <w:t xml:space="preserve">Master Baker &amp; Proprietor</w:t>
      </w:r>
      <w:r>
        <w:br/>
      </w:r>
      <w:r>
        <w:t xml:space="preserve">Date: _______________</w:t>
      </w:r>
    </w:p>
    <w:p>
      <w:pPr>
        <w:pStyle w:val="BodyText"/>
      </w:pPr>
      <w:r>
        <w:t xml:space="preserve">Purchase Order PO-FR-2025-04872 — Issued in France Paris — This document constitutes a binding commercial agreement between the Buyer and the Baker upon full execution. All references to France Paris denote the city of Paris, Île-de-France, France, and its immediate metropolitan delivery zone. The Baker acknowledges receipt of this Purchase Order and agrees to fulfil all obligations herein.</w:t>
      </w:r>
    </w:p>
    <w:p>
      <w:pPr>
        <w:pStyle w:val="BodyText"/>
      </w:pPr>
      <w:r>
        <w:t xml:space="preserve">© 2025 Groupe Alimentaire de la Capitale SARL. All rights reserved. Document generated in accordance with French commercial law (Code de commerce, Articles L441-1 et seq.).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France Paris</dc:title>
  <dc:creator/>
  <dc:language>en</dc:language>
  <cp:keywords/>
  <dcterms:created xsi:type="dcterms:W3CDTF">2026-10-10T01:53:47Z</dcterms:created>
  <dcterms:modified xsi:type="dcterms:W3CDTF">2026-10-10T01:53:47Z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