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Baker</w:t>
      </w:r>
      <w:r>
        <w:t xml:space="preserve"> </w:t>
      </w:r>
      <w:r>
        <w:t xml:space="preserve">-</w:t>
      </w:r>
      <w:r>
        <w:t xml:space="preserve"> </w:t>
      </w:r>
      <w:r>
        <w:t xml:space="preserve">Iraq</w:t>
      </w:r>
      <w:r>
        <w:t xml:space="preserve"> </w:t>
      </w:r>
      <w:r>
        <w:t xml:space="preserve">Baghdad</w:t>
      </w:r>
    </w:p>
    <w:bookmarkStart w:id="20" w:name="purchase-order"/>
    <w:p>
      <w:pPr>
        <w:pStyle w:val="Heading1"/>
      </w:pPr>
      <w:r>
        <w:t xml:space="preserve">PURCHASE ORDER</w:t>
      </w:r>
    </w:p>
    <w:p>
      <w:pPr>
        <w:pStyle w:val="FirstParagraph"/>
      </w:pPr>
      <w:r>
        <w:t xml:space="preserve">Baker Industrial Supply Co. — Iraq Baghdad Operations Division</w:t>
      </w:r>
    </w:p>
    <w:p>
      <w:pPr>
        <w:pStyle w:val="BodyText"/>
      </w:pPr>
      <w:r>
        <w:t xml:space="preserve">PO Reference No: BKR-IQB-2025-04471 | Status:</w:t>
      </w:r>
      <w:r>
        <w:t xml:space="preserve"> </w:t>
      </w:r>
      <w:r>
        <w:t xml:space="preserve">ACTIVE</w:t>
      </w:r>
    </w:p>
    <w:bookmarkEnd w:id="20"/>
    <w:p>
      <w:pPr>
        <w:pStyle w:val="BodyText"/>
      </w:pPr>
      <w:r>
        <w:rPr>
          <w:bCs/>
          <w:b/>
        </w:rPr>
        <w:t xml:space="preserve">Date of Issue:</w:t>
      </w:r>
      <w:r>
        <w:t xml:space="preserve"> </w:t>
      </w:r>
      <w:r>
        <w:t xml:space="preserve">15 June 2025</w:t>
      </w:r>
      <w:r>
        <w:br/>
      </w:r>
      <w:r>
        <w:rPr>
          <w:bCs/>
          <w:b/>
        </w:rPr>
        <w:t xml:space="preserve">Required Delivery Date:</w:t>
      </w:r>
      <w:r>
        <w:t xml:space="preserve"> </w:t>
      </w:r>
      <w:r>
        <w:t xml:space="preserve">15 July 2025</w:t>
      </w:r>
      <w:r>
        <w:br/>
      </w:r>
      <w:r>
        <w:rPr>
          <w:bCs/>
          <w:b/>
        </w:rPr>
        <w:t xml:space="preserve">Payment Terms:</w:t>
      </w:r>
      <w:r>
        <w:t xml:space="preserve"> </w:t>
      </w:r>
      <w:r>
        <w:t xml:space="preserve">Net 45 Days</w:t>
      </w:r>
    </w:p>
    <w:p>
      <w:pPr>
        <w:pStyle w:val="BodyText"/>
      </w:pPr>
      <w:r>
        <w:rPr>
          <w:bCs/>
          <w:b/>
        </w:rPr>
        <w:t xml:space="preserve">Issued By:</w:t>
      </w:r>
      <w:r>
        <w:t xml:space="preserve"> </w:t>
      </w:r>
      <w:r>
        <w:t xml:space="preserve">Baghdad Procurement Office</w:t>
      </w:r>
      <w:r>
        <w:br/>
      </w:r>
      <w:r>
        <w:rPr>
          <w:bCs/>
          <w:b/>
        </w:rPr>
        <w:t xml:space="preserve">Location:</w:t>
      </w:r>
      <w:r>
        <w:t xml:space="preserve"> </w:t>
      </w:r>
      <w:r>
        <w:t xml:space="preserve">Al-Mansour District, Baghdad, Iraq</w:t>
      </w:r>
      <w:r>
        <w:br/>
      </w:r>
      <w:r>
        <w:rPr>
          <w:bCs/>
          <w:b/>
        </w:rPr>
        <w:t xml:space="preserve">Currency:</w:t>
      </w:r>
      <w:r>
        <w:t xml:space="preserve"> </w:t>
      </w:r>
      <w:r>
        <w:t xml:space="preserve">Iraqi Dinar (IQD) / USD</w:t>
      </w:r>
    </w:p>
    <w:p>
      <w:pPr>
        <w:pStyle w:val="BodyText"/>
      </w:pPr>
      <w:r>
        <w:t xml:space="preserve">1. Parties to This Purchase Order</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 / Contact</w:t>
            </w:r>
          </w:p>
        </w:tc>
      </w:tr>
      <w:tr>
        <w:tc>
          <w:tcPr/>
          <w:p>
            <w:pPr>
              <w:pStyle w:val="Compact"/>
              <w:jc w:val="left"/>
            </w:pPr>
            <w:r>
              <w:rPr>
                <w:bCs/>
                <w:b/>
              </w:rPr>
              <w:t xml:space="preserve">Buyer (Purchasing Entity)</w:t>
            </w:r>
          </w:p>
        </w:tc>
        <w:tc>
          <w:tcPr/>
          <w:p>
            <w:pPr>
              <w:pStyle w:val="Compact"/>
              <w:jc w:val="left"/>
            </w:pPr>
            <w:r>
              <w:t xml:space="preserve">Baker Group Iraq — Baghdad Operations</w:t>
            </w:r>
          </w:p>
        </w:tc>
        <w:tc>
          <w:tcPr/>
          <w:p>
            <w:pPr>
              <w:pStyle w:val="Compact"/>
              <w:jc w:val="left"/>
            </w:pPr>
            <w:r>
              <w:t xml:space="preserve">14 Al-Mansour Commercial Zone, Baghdad, Iraq</w:t>
            </w:r>
            <w:r>
              <w:br/>
            </w:r>
            <w:r>
              <w:t xml:space="preserve">Tel: +964-1-715-4420</w:t>
            </w:r>
            <w:r>
              <w:br/>
            </w:r>
            <w:r>
              <w:t xml:space="preserve">Email: procurement.baghdad@baker-iraq.iq</w:t>
            </w:r>
          </w:p>
        </w:tc>
      </w:tr>
      <w:tr>
        <w:tc>
          <w:tcPr/>
          <w:p>
            <w:pPr>
              <w:pStyle w:val="Compact"/>
              <w:jc w:val="left"/>
            </w:pPr>
            <w:r>
              <w:rPr>
                <w:bCs/>
                <w:b/>
              </w:rPr>
              <w:t xml:space="preserve">Supplier (Vendor)</w:t>
            </w:r>
          </w:p>
        </w:tc>
        <w:tc>
          <w:tcPr/>
          <w:p>
            <w:pPr>
              <w:pStyle w:val="Compact"/>
              <w:jc w:val="left"/>
            </w:pPr>
            <w:r>
              <w:t xml:space="preserve">Baker International Manufacturing Ltd.</w:t>
            </w:r>
          </w:p>
        </w:tc>
        <w:tc>
          <w:tcPr/>
          <w:p>
            <w:pPr>
              <w:pStyle w:val="Compact"/>
              <w:jc w:val="left"/>
            </w:pPr>
            <w:r>
              <w:t xml:space="preserve">78 Baker Industrial Park, Manchester, United Kingdom</w:t>
            </w:r>
            <w:r>
              <w:br/>
            </w:r>
            <w:r>
              <w:t xml:space="preserve">Tel: +44-161-555-0192</w:t>
            </w:r>
            <w:r>
              <w:br/>
            </w:r>
            <w:r>
              <w:t xml:space="preserve">Email: sales@baker-intl.com</w:t>
            </w:r>
          </w:p>
        </w:tc>
      </w:tr>
      <w:tr>
        <w:tc>
          <w:tcPr/>
          <w:p>
            <w:pPr>
              <w:pStyle w:val="Compact"/>
              <w:jc w:val="left"/>
            </w:pPr>
            <w:r>
              <w:rPr>
                <w:bCs/>
                <w:b/>
              </w:rPr>
              <w:t xml:space="preserve">Receiving Warehouse</w:t>
            </w:r>
          </w:p>
        </w:tc>
        <w:tc>
          <w:tcPr/>
          <w:p>
            <w:pPr>
              <w:pStyle w:val="Compact"/>
              <w:jc w:val="left"/>
            </w:pPr>
            <w:r>
              <w:t xml:space="preserve">Baker Baghdad Central Depot</w:t>
            </w:r>
          </w:p>
        </w:tc>
        <w:tc>
          <w:tcPr/>
          <w:p>
            <w:pPr>
              <w:pStyle w:val="Compact"/>
              <w:jc w:val="left"/>
            </w:pPr>
            <w:r>
              <w:t xml:space="preserve">Industrial Zone 3, Adhamiyah District, Baghdad, Iraq</w:t>
            </w:r>
            <w:r>
              <w:br/>
            </w:r>
            <w:r>
              <w:t xml:space="preserve">Warehouse Manager: Eng. Khalid Al-Rashid</w:t>
            </w:r>
          </w:p>
        </w:tc>
      </w:tr>
    </w:tbl>
    <w:p>
      <w:pPr>
        <w:pStyle w:val="BodyText"/>
      </w:pPr>
      <w:r>
        <w:t xml:space="preserve">2. Purchase Order Itemization</w:t>
      </w:r>
    </w:p>
    <w:p>
      <w:pPr>
        <w:pStyle w:val="BodyText"/>
      </w:pPr>
      <w:r>
        <w:t xml:space="preserve">This Purchase Order, issued by</w:t>
      </w:r>
      <w:r>
        <w:t xml:space="preserve"> </w:t>
      </w:r>
      <w:r>
        <w:t xml:space="preserve">Baker Group Iraq</w:t>
      </w:r>
      <w:r>
        <w:t xml:space="preserve"> </w:t>
      </w:r>
      <w:r>
        <w:t xml:space="preserve">and processed through the</w:t>
      </w:r>
      <w:r>
        <w:t xml:space="preserve"> </w:t>
      </w:r>
      <w:r>
        <w:t xml:space="preserve">Iraq Baghdad</w:t>
      </w:r>
      <w:r>
        <w:t xml:space="preserve"> </w:t>
      </w:r>
      <w:r>
        <w:t xml:space="preserve">procurement office, authorizes the supplier to deliver the following goods and services as specified below. All items are to be shipped to the designated receiving warehouse in Baghdad, Iraq, in accordance with the delivery schedule outlined in Section 5 of this document.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Line #</w:t>
            </w:r>
          </w:p>
        </w:tc>
        <w:tc>
          <w:tcPr/>
          <w:p>
            <w:pPr>
              <w:pStyle w:val="Compact"/>
              <w:jc w:val="left"/>
            </w:pPr>
            <w:r>
              <w:t xml:space="preserve">Item Description</w:t>
            </w:r>
          </w:p>
        </w:tc>
        <w:tc>
          <w:tcPr/>
          <w:p>
            <w:pPr>
              <w:pStyle w:val="Compact"/>
              <w:jc w:val="left"/>
            </w:pPr>
            <w:r>
              <w:t xml:space="preserve">SKU / Part No.</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01</w:t>
            </w:r>
          </w:p>
        </w:tc>
        <w:tc>
          <w:tcPr/>
          <w:p>
            <w:pPr>
              <w:pStyle w:val="Compact"/>
              <w:jc w:val="left"/>
            </w:pPr>
            <w:r>
              <w:t xml:space="preserve">Baker Heavy-Duty Industrial Mixer, Model BKM-4500 (for bakery production line)</w:t>
            </w:r>
          </w:p>
        </w:tc>
        <w:tc>
          <w:tcPr/>
          <w:p>
            <w:pPr>
              <w:pStyle w:val="Compact"/>
              <w:jc w:val="left"/>
            </w:pPr>
            <w:r>
              <w:t xml:space="preserve">BKR-BKM-4500</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$8,450.00</w:t>
            </w:r>
          </w:p>
        </w:tc>
        <w:tc>
          <w:tcPr/>
          <w:p>
            <w:pPr>
              <w:pStyle w:val="Compact"/>
              <w:jc w:val="left"/>
            </w:pPr>
            <w:r>
              <w:t xml:space="preserve">$101,400.00</w:t>
            </w:r>
          </w:p>
        </w:tc>
      </w:tr>
      <w:tr>
        <w:tc>
          <w:tcPr/>
          <w:p>
            <w:pPr>
              <w:pStyle w:val="Compact"/>
              <w:jc w:val="left"/>
            </w:pPr>
            <w:r>
              <w:t xml:space="preserve">02</w:t>
            </w:r>
          </w:p>
        </w:tc>
        <w:tc>
          <w:tcPr/>
          <w:p>
            <w:pPr>
              <w:pStyle w:val="Compact"/>
              <w:jc w:val="left"/>
            </w:pPr>
            <w:r>
              <w:t xml:space="preserve">Baker Commercial Oven, Gas-Fired, 64-Tray Capacity (Model BKO-64G)</w:t>
            </w:r>
          </w:p>
        </w:tc>
        <w:tc>
          <w:tcPr/>
          <w:p>
            <w:pPr>
              <w:pStyle w:val="Compact"/>
              <w:jc w:val="left"/>
            </w:pPr>
            <w:r>
              <w:t xml:space="preserve">BKR-BKO-64G</w:t>
            </w:r>
          </w:p>
        </w:tc>
        <w:tc>
          <w:tcPr/>
          <w:p>
            <w:pPr>
              <w:pStyle w:val="Compact"/>
              <w:jc w:val="left"/>
            </w:pPr>
            <w:r>
              <w:t xml:space="preserve">8</w:t>
            </w:r>
          </w:p>
        </w:tc>
        <w:tc>
          <w:tcPr/>
          <w:p>
            <w:pPr>
              <w:pStyle w:val="Compact"/>
              <w:jc w:val="left"/>
            </w:pPr>
            <w:r>
              <w:t xml:space="preserve">Units</w:t>
            </w:r>
          </w:p>
        </w:tc>
        <w:tc>
          <w:tcPr/>
          <w:p>
            <w:pPr>
              <w:pStyle w:val="Compact"/>
              <w:jc w:val="left"/>
            </w:pPr>
            <w:r>
              <w:t xml:space="preserve">$12,300.00</w:t>
            </w:r>
          </w:p>
        </w:tc>
        <w:tc>
          <w:tcPr/>
          <w:p>
            <w:pPr>
              <w:pStyle w:val="Compact"/>
              <w:jc w:val="left"/>
            </w:pPr>
            <w:r>
              <w:t xml:space="preserve">$98,400.00</w:t>
            </w:r>
          </w:p>
        </w:tc>
      </w:tr>
      <w:tr>
        <w:tc>
          <w:tcPr/>
          <w:p>
            <w:pPr>
              <w:pStyle w:val="Compact"/>
              <w:jc w:val="left"/>
            </w:pPr>
            <w:r>
              <w:t xml:space="preserve">03</w:t>
            </w:r>
          </w:p>
        </w:tc>
        <w:tc>
          <w:tcPr/>
          <w:p>
            <w:pPr>
              <w:pStyle w:val="Compact"/>
              <w:jc w:val="left"/>
            </w:pPr>
            <w:r>
              <w:t xml:space="preserve">Baker Dough Sheeter &amp; Divider, Model BDS-2200</w:t>
            </w:r>
          </w:p>
        </w:tc>
        <w:tc>
          <w:tcPr/>
          <w:p>
            <w:pPr>
              <w:pStyle w:val="Compact"/>
              <w:jc w:val="left"/>
            </w:pPr>
            <w:r>
              <w:t xml:space="preserve">BKR-BDS-2200</w:t>
            </w:r>
          </w:p>
        </w:tc>
        <w:tc>
          <w:tcPr/>
          <w:p>
            <w:pPr>
              <w:pStyle w:val="Compact"/>
              <w:jc w:val="left"/>
            </w:pPr>
            <w:r>
              <w:t xml:space="preserve">6</w:t>
            </w:r>
          </w:p>
        </w:tc>
        <w:tc>
          <w:tcPr/>
          <w:p>
            <w:pPr>
              <w:pStyle w:val="Compact"/>
              <w:jc w:val="left"/>
            </w:pPr>
            <w:r>
              <w:t xml:space="preserve">Units</w:t>
            </w:r>
          </w:p>
        </w:tc>
        <w:tc>
          <w:tcPr/>
          <w:p>
            <w:pPr>
              <w:pStyle w:val="Compact"/>
              <w:jc w:val="left"/>
            </w:pPr>
            <w:r>
              <w:t xml:space="preserve">$5,780.00</w:t>
            </w:r>
          </w:p>
        </w:tc>
        <w:tc>
          <w:tcPr/>
          <w:p>
            <w:pPr>
              <w:pStyle w:val="Compact"/>
              <w:jc w:val="left"/>
            </w:pPr>
            <w:r>
              <w:t xml:space="preserve">$34,680.00</w:t>
            </w:r>
          </w:p>
        </w:tc>
      </w:tr>
      <w:tr>
        <w:tc>
          <w:tcPr/>
          <w:p>
            <w:pPr>
              <w:pStyle w:val="Compact"/>
              <w:jc w:val="left"/>
            </w:pPr>
            <w:r>
              <w:t xml:space="preserve">04</w:t>
            </w:r>
          </w:p>
        </w:tc>
        <w:tc>
          <w:tcPr/>
          <w:p>
            <w:pPr>
              <w:pStyle w:val="Compact"/>
              <w:jc w:val="left"/>
            </w:pPr>
            <w:r>
              <w:t xml:space="preserve">Baker Stainless Steel Work Tables, 2400mm x 900mm (Set of 2)</w:t>
            </w:r>
          </w:p>
        </w:tc>
        <w:tc>
          <w:tcPr/>
          <w:p>
            <w:pPr>
              <w:pStyle w:val="Compact"/>
              <w:jc w:val="left"/>
            </w:pPr>
            <w:r>
              <w:t xml:space="preserve">BKR-STW-2490</w:t>
            </w:r>
          </w:p>
        </w:tc>
        <w:tc>
          <w:tcPr/>
          <w:p>
            <w:pPr>
              <w:pStyle w:val="Compact"/>
              <w:jc w:val="left"/>
            </w:pPr>
            <w:r>
              <w:t xml:space="preserve">20</w:t>
            </w:r>
          </w:p>
        </w:tc>
        <w:tc>
          <w:tcPr/>
          <w:p>
            <w:pPr>
              <w:pStyle w:val="Compact"/>
              <w:jc w:val="left"/>
            </w:pPr>
            <w:r>
              <w:t xml:space="preserve">Sets</w:t>
            </w:r>
          </w:p>
        </w:tc>
        <w:tc>
          <w:tcPr/>
          <w:p>
            <w:pPr>
              <w:pStyle w:val="Compact"/>
              <w:jc w:val="left"/>
            </w:pPr>
            <w:r>
              <w:t xml:space="preserve">$1,120.00</w:t>
            </w:r>
          </w:p>
        </w:tc>
        <w:tc>
          <w:tcPr/>
          <w:p>
            <w:pPr>
              <w:pStyle w:val="Compact"/>
              <w:jc w:val="left"/>
            </w:pPr>
            <w:r>
              <w:t xml:space="preserve">$22,400.00</w:t>
            </w:r>
          </w:p>
        </w:tc>
      </w:tr>
      <w:tr>
        <w:tc>
          <w:tcPr/>
          <w:p>
            <w:pPr>
              <w:pStyle w:val="Compact"/>
              <w:jc w:val="left"/>
            </w:pPr>
            <w:r>
              <w:t xml:space="preserve">05</w:t>
            </w:r>
          </w:p>
        </w:tc>
        <w:tc>
          <w:tcPr/>
          <w:p>
            <w:pPr>
              <w:pStyle w:val="Compact"/>
              <w:jc w:val="left"/>
            </w:pPr>
            <w:r>
              <w:t xml:space="preserve">Baker Cooling Racks, 5-Tier, Stainless Steel (Model BCR-5T)</w:t>
            </w:r>
          </w:p>
        </w:tc>
        <w:tc>
          <w:tcPr/>
          <w:p>
            <w:pPr>
              <w:pStyle w:val="Compact"/>
              <w:jc w:val="left"/>
            </w:pPr>
            <w:r>
              <w:t xml:space="preserve">BKR-BCR-5T</w:t>
            </w:r>
          </w:p>
        </w:tc>
        <w:tc>
          <w:tcPr/>
          <w:p>
            <w:pPr>
              <w:pStyle w:val="Compact"/>
              <w:jc w:val="left"/>
            </w:pPr>
            <w:r>
              <w:t xml:space="preserve">40</w:t>
            </w:r>
          </w:p>
        </w:tc>
        <w:tc>
          <w:tcPr/>
          <w:p>
            <w:pPr>
              <w:pStyle w:val="Compact"/>
              <w:jc w:val="left"/>
            </w:pPr>
            <w:r>
              <w:t xml:space="preserve">Units</w:t>
            </w:r>
          </w:p>
        </w:tc>
        <w:tc>
          <w:tcPr/>
          <w:p>
            <w:pPr>
              <w:pStyle w:val="Compact"/>
              <w:jc w:val="left"/>
            </w:pPr>
            <w:r>
              <w:t xml:space="preserve">$340.00</w:t>
            </w:r>
          </w:p>
        </w:tc>
        <w:tc>
          <w:tcPr/>
          <w:p>
            <w:pPr>
              <w:pStyle w:val="Compact"/>
              <w:jc w:val="left"/>
            </w:pPr>
            <w:r>
              <w:t xml:space="preserve">$13,600.00</w:t>
            </w:r>
          </w:p>
        </w:tc>
      </w:tr>
      <w:tr>
        <w:tc>
          <w:tcPr/>
          <w:p>
            <w:pPr>
              <w:pStyle w:val="Compact"/>
              <w:jc w:val="left"/>
            </w:pPr>
            <w:r>
              <w:t xml:space="preserve">06</w:t>
            </w:r>
          </w:p>
        </w:tc>
        <w:tc>
          <w:tcPr/>
          <w:p>
            <w:pPr>
              <w:pStyle w:val="Compact"/>
              <w:jc w:val="left"/>
            </w:pPr>
            <w:r>
              <w:t xml:space="preserve">Baker Installation &amp; Commissioning Service Package (on-site, Baghdad)</w:t>
            </w:r>
          </w:p>
        </w:tc>
        <w:tc>
          <w:tcPr/>
          <w:p>
            <w:pPr>
              <w:pStyle w:val="Compact"/>
              <w:jc w:val="left"/>
            </w:pPr>
            <w:r>
              <w:t xml:space="preserve">BKR-SVC-INST</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07</w:t>
            </w:r>
          </w:p>
        </w:tc>
        <w:tc>
          <w:tcPr/>
          <w:p>
            <w:pPr>
              <w:pStyle w:val="Compact"/>
              <w:jc w:val="left"/>
            </w:pPr>
            <w:r>
              <w:t xml:space="preserve">Baker Operator Training Program (40 hours, 2 sessions, Baghdad facility)</w:t>
            </w:r>
          </w:p>
        </w:tc>
        <w:tc>
          <w:tcPr/>
          <w:p>
            <w:pPr>
              <w:pStyle w:val="Compact"/>
              <w:jc w:val="left"/>
            </w:pPr>
            <w:r>
              <w:t xml:space="preserve">BKR-SVC-TRN</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$9,200.00</w:t>
            </w:r>
          </w:p>
        </w:tc>
        <w:tc>
          <w:tcPr/>
          <w:p>
            <w:pPr>
              <w:pStyle w:val="Compact"/>
              <w:jc w:val="left"/>
            </w:pPr>
            <w:r>
              <w:t xml:space="preserve">$9,200.00</w:t>
            </w:r>
          </w:p>
        </w:tc>
      </w:tr>
      <w:tr>
        <w:tc>
          <w:tcPr/>
          <w:p>
            <w:pPr>
              <w:pStyle w:val="Compact"/>
              <w:jc w:val="left"/>
            </w:pPr>
            <w:r>
              <w:t xml:space="preserve">08</w:t>
            </w:r>
          </w:p>
        </w:tc>
        <w:tc>
          <w:tcPr/>
          <w:p>
            <w:pPr>
              <w:pStyle w:val="Compact"/>
              <w:jc w:val="left"/>
            </w:pPr>
            <w:r>
              <w:t xml:space="preserve">Baker Spare Parts Kit (annual maintenance set for all above equipment)</w:t>
            </w:r>
          </w:p>
        </w:tc>
        <w:tc>
          <w:tcPr/>
          <w:p>
            <w:pPr>
              <w:pStyle w:val="Compact"/>
              <w:jc w:val="left"/>
            </w:pPr>
            <w:r>
              <w:t xml:space="preserve">BKR-SPK-ANN</w:t>
            </w:r>
          </w:p>
        </w:tc>
        <w:tc>
          <w:tcPr/>
          <w:p>
            <w:pPr>
              <w:pStyle w:val="Compact"/>
              <w:jc w:val="left"/>
            </w:pPr>
            <w:r>
              <w:t xml:space="preserve">1</w:t>
            </w:r>
          </w:p>
        </w:tc>
        <w:tc>
          <w:tcPr/>
          <w:p>
            <w:pPr>
              <w:pStyle w:val="Compact"/>
              <w:jc w:val="left"/>
            </w:pPr>
            <w:r>
              <w:t xml:space="preserve">Kit</w:t>
            </w:r>
          </w:p>
        </w:tc>
        <w:tc>
          <w:tcPr/>
          <w:p>
            <w:pPr>
              <w:pStyle w:val="Compact"/>
              <w:jc w:val="left"/>
            </w:pPr>
            <w:r>
              <w:t xml:space="preserve">$7,850.00</w:t>
            </w:r>
          </w:p>
        </w:tc>
        <w:tc>
          <w:tcPr/>
          <w:p>
            <w:pPr>
              <w:pStyle w:val="Compact"/>
              <w:jc w:val="left"/>
            </w:pPr>
            <w:r>
              <w:t xml:space="preserve">$7,850.00</w:t>
            </w:r>
          </w:p>
        </w:tc>
      </w:tr>
      <w:tr>
        <w:tc>
          <w:tcPr>
            <w:gridSpan w:val="6"/>
          </w:tcPr>
          <w:p>
            <w:pPr>
              <w:pStyle w:val="Compact"/>
              <w:jc w:val="right"/>
            </w:pPr>
            <w:r>
              <w:t xml:space="preserve">Subtotal (USD)</w:t>
            </w:r>
          </w:p>
        </w:tc>
        <w:tc>
          <w:tcPr/>
          <w:p>
            <w:pPr>
              <w:pStyle w:val="Compact"/>
              <w:jc w:val="left"/>
            </w:pPr>
            <w:r>
              <w:t xml:space="preserve">$306,030.00</w:t>
            </w:r>
          </w:p>
        </w:tc>
      </w:tr>
      <w:tr>
        <w:tc>
          <w:tcPr>
            <w:gridSpan w:val="6"/>
          </w:tcPr>
          <w:p>
            <w:pPr>
              <w:pStyle w:val="Compact"/>
              <w:jc w:val="right"/>
            </w:pPr>
            <w:r>
              <w:t xml:space="preserve">Applicable VAT / Iraqi Customs Duty (estimated 15%)</w:t>
            </w:r>
          </w:p>
        </w:tc>
        <w:tc>
          <w:tcPr/>
          <w:p>
            <w:pPr>
              <w:pStyle w:val="Compact"/>
              <w:jc w:val="left"/>
            </w:pPr>
            <w:r>
              <w:t xml:space="preserve">$45,904.50</w:t>
            </w:r>
          </w:p>
        </w:tc>
      </w:tr>
      <w:tr>
        <w:tc>
          <w:tcPr>
            <w:gridSpan w:val="6"/>
          </w:tcPr>
          <w:p>
            <w:pPr>
              <w:pStyle w:val="Compact"/>
              <w:jc w:val="right"/>
            </w:pPr>
            <w:r>
              <w:t xml:space="preserve">Freight &amp; Insurance (CIF Baghdad Port / Airport)</w:t>
            </w:r>
          </w:p>
        </w:tc>
        <w:tc>
          <w:tcPr/>
          <w:p>
            <w:pPr>
              <w:pStyle w:val="Compact"/>
              <w:jc w:val="left"/>
            </w:pPr>
            <w:r>
              <w:t xml:space="preserve">$14,200.00</w:t>
            </w:r>
          </w:p>
        </w:tc>
      </w:tr>
      <w:tr>
        <w:tc>
          <w:tcPr>
            <w:gridSpan w:val="6"/>
          </w:tcPr>
          <w:p>
            <w:pPr>
              <w:pStyle w:val="Compact"/>
              <w:jc w:val="right"/>
            </w:pPr>
            <w:r>
              <w:rPr>
                <w:bCs/>
                <w:b/>
              </w:rPr>
              <w:t xml:space="preserve">TOTAL PURCHASE ORDER VALUE (USD)</w:t>
            </w:r>
          </w:p>
        </w:tc>
        <w:tc>
          <w:tcPr/>
          <w:p>
            <w:pPr>
              <w:pStyle w:val="Compact"/>
              <w:jc w:val="left"/>
            </w:pPr>
            <w:r>
              <w:rPr>
                <w:bCs/>
                <w:b/>
              </w:rPr>
              <w:t xml:space="preserve">$366,134.50</w:t>
            </w:r>
          </w:p>
        </w:tc>
      </w:tr>
    </w:tbl>
    <w:p>
      <w:pPr>
        <w:pStyle w:val="BodyText"/>
      </w:pPr>
      <w:r>
        <w:t xml:space="preserve">3. Delivery and Logistics Specifications</w:t>
      </w:r>
    </w:p>
    <w:p>
      <w:pPr>
        <w:pStyle w:val="BodyText"/>
      </w:pPr>
      <w:r>
        <w:t xml:space="preserve">All goods covered under this Purchase Order must be delivered to the</w:t>
      </w:r>
      <w:r>
        <w:t xml:space="preserve"> </w:t>
      </w:r>
      <w:r>
        <w:t xml:space="preserve">Baker Baghdad Central Depot</w:t>
      </w:r>
      <w:r>
        <w:t xml:space="preserve"> </w:t>
      </w:r>
      <w:r>
        <w:t xml:space="preserve">located in Industrial Zone 3, Adhamiyah District, Baghdad, Iraq. The supplier, Baker International Manufacturing Ltd., is responsible for arranging all freight, customs clearance at the Baghdad International Airport or Basra Port (as applicable), and final delivery to the receiving warehouse. Delivery must be completed no later than</w:t>
      </w:r>
      <w:r>
        <w:t xml:space="preserve"> </w:t>
      </w:r>
      <w:r>
        <w:rPr>
          <w:bCs/>
          <w:b/>
        </w:rPr>
        <w:t xml:space="preserve">15 July 2025</w:t>
      </w:r>
      <w:r>
        <w:t xml:space="preserve">. All packaging must be suitable for the climate conditions in Iraq Baghdad, including protection against extreme heat and dust. Each shipment must be accompanied by a commercial invoice, packing list, certificate of origin, and all documents required by the Iraqi Ministry of Trade for customs clearance.</w:t>
      </w:r>
    </w:p>
    <w:p>
      <w:pPr>
        <w:pStyle w:val="BodyText"/>
      </w:pPr>
      <w:r>
        <w:t xml:space="preserve">4. Payment Terms and Conditions</w:t>
      </w:r>
    </w:p>
    <w:p>
      <w:pPr>
        <w:pStyle w:val="BodyText"/>
      </w:pPr>
      <w:r>
        <w:t xml:space="preserve">Payment for this Purchase Order shall be made in accordance with the following schedule: 30% advance payment upon confirmation of this Purchase Order by both parties; 50% upon successful delivery and inspection of goods at the Baghdad warehouse; and the remaining 20% within 45 days of final acceptance and completion of the installation and training services. All payments shall be made via international wire transfer to the supplier's designated bank account. The buyer, Baker Group Iraq, reserves the right to withhold payment for any items that fail to meet the quality specifications outlined in the attached technical annex. All transactions are subject to the commercial laws of the Republic of Iraq and applicable international trade regulations.</w:t>
      </w:r>
    </w:p>
    <w:p>
      <w:pPr>
        <w:pStyle w:val="BodyText"/>
      </w:pPr>
      <w:r>
        <w:t xml:space="preserve">5. Quality Assurance and Acceptance</w:t>
      </w:r>
    </w:p>
    <w:p>
      <w:pPr>
        <w:pStyle w:val="BodyText"/>
      </w:pPr>
      <w:r>
        <w:t xml:space="preserve">Upon arrival at the Baghdad receiving facility, all Baker-branded equipment and materials shall be inspected by the buyer's quality assurance team within five (5) business days. Any discrepancies, damage in transit, or non-conformity with the specifications stated in this Purchase Order must be reported in writing to the supplier within ten (10) business days of delivery. The supplier shall be responsible for replacing or repairing any defective items at no additional cost to the buyer. The Baker installation and commissioning service, as well as the operator training program, must be conducted at the buyer's facility in Baghdad, Iraq, and shall be deemed complete only upon written sign-off by the buyer's operations director.</w:t>
      </w:r>
    </w:p>
    <w:p>
      <w:pPr>
        <w:pStyle w:val="BodyText"/>
      </w:pPr>
      <w:r>
        <w:t xml:space="preserve">6. General Terms and Conditions</w:t>
      </w:r>
    </w:p>
    <w:p>
      <w:pPr>
        <w:numPr>
          <w:ilvl w:val="0"/>
          <w:numId w:val="1001"/>
        </w:numPr>
        <w:pStyle w:val="Compact"/>
      </w:pPr>
      <w:r>
        <w:t xml:space="preserve">This Purchase Order constitutes a binding agreement between Baker Group Iraq (Buyer) and Baker International Manufacturing Ltd. (Supplier) upon signature by both authorized representatives.</w:t>
      </w:r>
    </w:p>
    <w:p>
      <w:pPr>
        <w:numPr>
          <w:ilvl w:val="0"/>
          <w:numId w:val="1001"/>
        </w:numPr>
        <w:pStyle w:val="Compact"/>
      </w:pPr>
      <w:r>
        <w:t xml:space="preserve">All intellectual property, trademarks, and brand rights associated with the "Baker" name and product lines remain the exclusive property of Baker International Manufacturing Ltd.</w:t>
      </w:r>
    </w:p>
    <w:p>
      <w:pPr>
        <w:numPr>
          <w:ilvl w:val="0"/>
          <w:numId w:val="1001"/>
        </w:numPr>
        <w:pStyle w:val="Compact"/>
      </w:pPr>
      <w:r>
        <w:t xml:space="preserve">The supplier warrants that all goods delivered under this Purchase Order are new, unused, and free from defects in material and workmanship for a period of twenty-four (24) months from the date of delivery in Baghdad, Iraq.</w:t>
      </w:r>
    </w:p>
    <w:p>
      <w:pPr>
        <w:numPr>
          <w:ilvl w:val="0"/>
          <w:numId w:val="1001"/>
        </w:numPr>
        <w:pStyle w:val="Compact"/>
      </w:pPr>
      <w:r>
        <w:t xml:space="preserve">Any changes or amendments to this Purchase Order must be made in writing and signed by both parties. Verbal modifications are not valid.</w:t>
      </w:r>
    </w:p>
    <w:p>
      <w:pPr>
        <w:numPr>
          <w:ilvl w:val="0"/>
          <w:numId w:val="1001"/>
        </w:numPr>
        <w:pStyle w:val="Compact"/>
      </w:pPr>
      <w:r>
        <w:t xml:space="preserve">In the event of a dispute arising from this Purchase Order, the parties agree to first attempt resolution through good-faith negotiation. If unresolved within thirty (30) days, the dispute shall be submitted to arbitration under the rules of the International Chamber of Commerce, with the seat of arbitration in Baghdad, Iraq.</w:t>
      </w:r>
    </w:p>
    <w:p>
      <w:pPr>
        <w:numPr>
          <w:ilvl w:val="0"/>
          <w:numId w:val="1001"/>
        </w:numPr>
        <w:pStyle w:val="Compact"/>
      </w:pPr>
      <w:r>
        <w:t xml:space="preserve">This Purchase Order is governed by the commercial laws of the Republic of Iraq and, where applicable, the United Nations Convention on Contracts for the International Sale of Goods (CISG).</w:t>
      </w:r>
    </w:p>
    <w:p>
      <w:pPr>
        <w:numPr>
          <w:ilvl w:val="0"/>
          <w:numId w:val="1001"/>
        </w:numPr>
        <w:pStyle w:val="Compact"/>
      </w:pPr>
      <w:r>
        <w:t xml:space="preserve">The supplier shall maintain adequate insurance coverage for all goods in transit to Iraq Baghdad and shall provide proof of such coverage upon request.</w:t>
      </w:r>
    </w:p>
    <w:p>
      <w:pPr>
        <w:numPr>
          <w:ilvl w:val="0"/>
          <w:numId w:val="1001"/>
        </w:numPr>
        <w:pStyle w:val="Compact"/>
      </w:pPr>
      <w:r>
        <w:t xml:space="preserve">Force majeure events, including but not limited to natural disasters, war, government sanctions, or pandemics affecting the Iraq Baghdad region, shall excuse delayed performance for the duration of such event, provided that the affected party notifies the other in writing within seven (7) days.</w:t>
      </w:r>
    </w:p>
    <w:p>
      <w:pPr>
        <w:pStyle w:val="FirstParagraph"/>
      </w:pPr>
      <w:r>
        <w:t xml:space="preserve">7. Authorization and Signatures</w:t>
      </w:r>
    </w:p>
    <w:p>
      <w:pPr>
        <w:pStyle w:val="BodyText"/>
      </w:pPr>
      <w:r>
        <w:t xml:space="preserve">By signing below, both parties acknowledge that they have read, understood, and agree to all terms, conditions, and specifications set forth in this Purchase Order. This document is issued in two (2) original copies, one for each party, both bearing equal legal validity.</w:t>
      </w:r>
    </w:p>
    <w:p>
      <w:pPr>
        <w:pStyle w:val="BodyText"/>
      </w:pPr>
      <w:r>
        <w:rPr>
          <w:bCs/>
          <w:b/>
        </w:rPr>
        <w:t xml:space="preserve">For and on behalf of the Buyer:</w:t>
      </w:r>
    </w:p>
    <w:p>
      <w:pPr>
        <w:pStyle w:val="BodyText"/>
      </w:pPr>
      <w:r>
        <w:t xml:space="preserve">Baker Group Iraq — Baghdad Operations</w:t>
      </w:r>
    </w:p>
    <w:p>
      <w:pPr>
        <w:pStyle w:val="BodyText"/>
      </w:pPr>
      <w:r>
        <w:t xml:space="preserve">Name: Eng. Sarah Al-Mansouri</w:t>
      </w:r>
      <w:r>
        <w:br/>
      </w:r>
      <w:r>
        <w:t xml:space="preserve">Title: Director of Procurement</w:t>
      </w:r>
      <w:r>
        <w:br/>
      </w:r>
      <w:r>
        <w:t xml:space="preserve">Signature: _________________________</w:t>
      </w:r>
      <w:r>
        <w:br/>
      </w:r>
      <w:r>
        <w:t xml:space="preserve">Date: _________________________</w:t>
      </w:r>
    </w:p>
    <w:p>
      <w:pPr>
        <w:pStyle w:val="BodyText"/>
      </w:pPr>
      <w:r>
        <w:rPr>
          <w:bCs/>
          <w:b/>
        </w:rPr>
        <w:t xml:space="preserve">For and on behalf of the Supplier:</w:t>
      </w:r>
    </w:p>
    <w:p>
      <w:pPr>
        <w:pStyle w:val="BodyText"/>
      </w:pPr>
      <w:r>
        <w:t xml:space="preserve">Baker International Manufacturing Ltd.</w:t>
      </w:r>
    </w:p>
    <w:p>
      <w:pPr>
        <w:pStyle w:val="BodyText"/>
      </w:pPr>
      <w:r>
        <w:t xml:space="preserve">Name: Mr. James R. Baker</w:t>
      </w:r>
      <w:r>
        <w:br/>
      </w:r>
      <w:r>
        <w:t xml:space="preserve">Title: Chief Commercial Officer</w:t>
      </w:r>
      <w:r>
        <w:br/>
      </w:r>
      <w:r>
        <w:t xml:space="preserve">Signature: _________________________</w:t>
      </w:r>
      <w:r>
        <w:br/>
      </w:r>
      <w:r>
        <w:t xml:space="preserve">Date: _________________________</w:t>
      </w:r>
    </w:p>
    <w:p>
      <w:pPr>
        <w:pStyle w:val="BodyText"/>
      </w:pPr>
      <w:r>
        <w:rPr>
          <w:bCs/>
          <w:b/>
        </w:rPr>
        <w:t xml:space="preserve">Purchase Order No. BKR-IQB-2025-04471</w:t>
      </w:r>
      <w:r>
        <w:t xml:space="preserve"> </w:t>
      </w:r>
      <w:r>
        <w:t xml:space="preserve">| Baker Group Iraq — Iraq Baghdad Operations Division</w:t>
      </w:r>
    </w:p>
    <w:p>
      <w:pPr>
        <w:pStyle w:val="BodyText"/>
      </w:pPr>
      <w:r>
        <w:t xml:space="preserve">This document is the property of Baker Group Iraq. Unauthorized reproduction or distribution is prohibited.</w:t>
      </w:r>
    </w:p>
    <w:p>
      <w:pPr>
        <w:pStyle w:val="BodyText"/>
      </w:pPr>
      <w:r>
        <w:t xml:space="preserve">Issued from: Al-Mansour District, Baghdad, Iraq | Document Version: 1.0 | Classification: Commercial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Baker - Iraq Baghdad</dc:title>
  <dc:creator/>
  <dc:language>en</dc:language>
  <cp:keywords/>
  <dcterms:created xsi:type="dcterms:W3CDTF">2026-10-10T02:56:54Z</dcterms:created>
  <dcterms:modified xsi:type="dcterms:W3CDTF">2026-10-10T02:56:54Z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