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Baker Industries Ltd. — Jerusalem, Israel</w:t>
      </w:r>
    </w:p>
    <w:p>
      <w:pPr>
        <w:pStyle w:val="BodyText"/>
      </w:pPr>
      <w:r>
        <w:t xml:space="preserve">Official Procurement Document • Republic of Israel</w:t>
      </w:r>
    </w:p>
    <w:bookmarkEnd w:id="20"/>
    <w:bookmarkStart w:id="21" w:name="purchaser-buyer"/>
    <w:p>
      <w:pPr>
        <w:pStyle w:val="Heading3"/>
      </w:pPr>
      <w:r>
        <w:t xml:space="preserve">Purchaser (Buyer)</w:t>
      </w:r>
    </w:p>
    <w:p>
      <w:pPr>
        <w:pStyle w:val="FirstParagraph"/>
      </w:pPr>
      <w:r>
        <w:rPr>
          <w:bCs/>
          <w:b/>
        </w:rPr>
        <w:t xml:space="preserve">Baker Industries Ltd.</w:t>
      </w:r>
    </w:p>
    <w:p>
      <w:pPr>
        <w:pStyle w:val="BodyText"/>
      </w:pPr>
      <w:r>
        <w:t xml:space="preserve">14 King George Street</w:t>
      </w:r>
    </w:p>
    <w:p>
      <w:pPr>
        <w:pStyle w:val="BodyText"/>
      </w:pPr>
      <w:r>
        <w:t xml:space="preserve">Jerusalem, Israel 9710000</w:t>
      </w:r>
    </w:p>
    <w:p>
      <w:pPr>
        <w:pStyle w:val="BodyText"/>
      </w:pPr>
      <w:r>
        <w:t xml:space="preserve">Tel: +972-2-625-4410</w:t>
      </w:r>
    </w:p>
    <w:p>
      <w:pPr>
        <w:pStyle w:val="BodyText"/>
      </w:pPr>
      <w:r>
        <w:t xml:space="preserve">Email: procurement@baker-industries.co.il</w:t>
      </w:r>
    </w:p>
    <w:p>
      <w:pPr>
        <w:pStyle w:val="BodyText"/>
      </w:pPr>
      <w:r>
        <w:t xml:space="preserve">VAT No.: 51-204-887-3</w:t>
      </w:r>
    </w:p>
    <w:bookmarkEnd w:id="21"/>
    <w:bookmarkStart w:id="22" w:name="supplier-seller"/>
    <w:p>
      <w:pPr>
        <w:pStyle w:val="Heading3"/>
      </w:pPr>
      <w:r>
        <w:t xml:space="preserve">Supplier (Seller)</w:t>
      </w:r>
    </w:p>
    <w:p>
      <w:pPr>
        <w:pStyle w:val="FirstParagraph"/>
      </w:pPr>
      <w:r>
        <w:rPr>
          <w:bCs/>
          <w:b/>
        </w:rPr>
        <w:t xml:space="preserve">Mediterranean Supply Co.</w:t>
      </w:r>
    </w:p>
    <w:p>
      <w:pPr>
        <w:pStyle w:val="BodyText"/>
      </w:pPr>
      <w:r>
        <w:t xml:space="preserve">88 Ben Yehuda Boulevard</w:t>
      </w:r>
    </w:p>
    <w:p>
      <w:pPr>
        <w:pStyle w:val="BodyText"/>
      </w:pPr>
      <w:r>
        <w:t xml:space="preserve">Jerusalem, Israel 9495000</w:t>
      </w:r>
    </w:p>
    <w:p>
      <w:pPr>
        <w:pStyle w:val="BodyText"/>
      </w:pPr>
      <w:r>
        <w:t xml:space="preserve">Tel: +972-2-623-7789</w:t>
      </w:r>
    </w:p>
    <w:p>
      <w:pPr>
        <w:pStyle w:val="BodyText"/>
      </w:pPr>
      <w:r>
        <w:t xml:space="preserve">Email: sales@medsupply.co.il</w:t>
      </w:r>
    </w:p>
    <w:p>
      <w:pPr>
        <w:pStyle w:val="BodyText"/>
      </w:pPr>
      <w:r>
        <w:t xml:space="preserve">VAT No.: 51-337-210-9</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PO-BAKER-2025-0417-JR</w:t>
            </w:r>
          </w:p>
        </w:tc>
      </w:tr>
      <w:tr>
        <w:tc>
          <w:tcPr/>
          <w:p>
            <w:pPr>
              <w:pStyle w:val="Compact"/>
              <w:jc w:val="left"/>
            </w:pPr>
            <w:r>
              <w:t xml:space="preserve">Date of Issue:</w:t>
            </w:r>
          </w:p>
        </w:tc>
        <w:tc>
          <w:tcPr/>
          <w:p>
            <w:pPr>
              <w:pStyle w:val="Compact"/>
              <w:jc w:val="left"/>
            </w:pPr>
            <w:r>
              <w:t xml:space="preserve">17 June 2025</w:t>
            </w:r>
          </w:p>
        </w:tc>
      </w:tr>
      <w:tr>
        <w:tc>
          <w:tcPr/>
          <w:p>
            <w:pPr>
              <w:pStyle w:val="Compact"/>
              <w:jc w:val="left"/>
            </w:pPr>
            <w:r>
              <w:t xml:space="preserve">Delivery Deadline:</w:t>
            </w:r>
          </w:p>
        </w:tc>
        <w:tc>
          <w:tcPr/>
          <w:p>
            <w:pPr>
              <w:pStyle w:val="Compact"/>
              <w:jc w:val="left"/>
            </w:pPr>
            <w:r>
              <w:t xml:space="preserve">04 July 2025</w:t>
            </w:r>
          </w:p>
        </w:tc>
      </w:tr>
      <w:tr>
        <w:tc>
          <w:tcPr/>
          <w:p>
            <w:pPr>
              <w:pStyle w:val="Compact"/>
              <w:jc w:val="left"/>
            </w:pPr>
            <w:r>
              <w:t xml:space="preserve">Delivery Location:</w:t>
            </w:r>
          </w:p>
        </w:tc>
        <w:tc>
          <w:tcPr/>
          <w:p>
            <w:pPr>
              <w:pStyle w:val="Compact"/>
              <w:jc w:val="left"/>
            </w:pPr>
            <w:r>
              <w:t xml:space="preserve">Baker Industries Warehouse, 14 King George Street, Jerusalem, Israel</w:t>
            </w:r>
          </w:p>
        </w:tc>
      </w:tr>
      <w:tr>
        <w:tc>
          <w:tcPr/>
          <w:p>
            <w:pPr>
              <w:pStyle w:val="Compact"/>
              <w:jc w:val="left"/>
            </w:pPr>
            <w:r>
              <w:t xml:space="preserve">Payment Terms:</w:t>
            </w:r>
          </w:p>
        </w:tc>
        <w:tc>
          <w:tcPr/>
          <w:p>
            <w:pPr>
              <w:pStyle w:val="Compact"/>
              <w:jc w:val="left"/>
            </w:pPr>
            <w:r>
              <w:t xml:space="preserve">Net 30 days from date of invoice, payable in Israeli New Shekels (ILS)</w:t>
            </w:r>
          </w:p>
        </w:tc>
      </w:tr>
      <w:tr>
        <w:tc>
          <w:tcPr/>
          <w:p>
            <w:pPr>
              <w:pStyle w:val="Compact"/>
              <w:jc w:val="left"/>
            </w:pPr>
            <w:r>
              <w:t xml:space="preserve">Currency:</w:t>
            </w:r>
          </w:p>
        </w:tc>
        <w:tc>
          <w:tcPr/>
          <w:p>
            <w:pPr>
              <w:pStyle w:val="Compact"/>
              <w:jc w:val="left"/>
            </w:pPr>
            <w:r>
              <w:t xml:space="preserve">ILS (Israeli New Shekel)</w:t>
            </w:r>
          </w:p>
        </w:tc>
      </w:tr>
      <w:tr>
        <w:tc>
          <w:tcPr/>
          <w:p>
            <w:pPr>
              <w:pStyle w:val="Compact"/>
              <w:jc w:val="left"/>
            </w:pPr>
            <w:r>
              <w:t xml:space="preserve">Incoterms:</w:t>
            </w:r>
          </w:p>
        </w:tc>
        <w:tc>
          <w:tcPr/>
          <w:p>
            <w:pPr>
              <w:pStyle w:val="Compact"/>
              <w:jc w:val="left"/>
            </w:pPr>
            <w:r>
              <w:t xml:space="preserve">DDP (Delivered Duty Paid) — Jerusalem, Israel</w:t>
            </w:r>
          </w:p>
        </w:tc>
      </w:tr>
      <w:tr>
        <w:tc>
          <w:tcPr/>
          <w:p>
            <w:pPr>
              <w:pStyle w:val="Compact"/>
              <w:jc w:val="left"/>
            </w:pPr>
            <w:r>
              <w:t xml:space="preserve">Authorized By:</w:t>
            </w:r>
          </w:p>
        </w:tc>
        <w:tc>
          <w:tcPr/>
          <w:p>
            <w:pPr>
              <w:pStyle w:val="Compact"/>
              <w:jc w:val="left"/>
            </w:pPr>
            <w:r>
              <w:t xml:space="preserve">Mr. David Cohen, Head of Procurement, Baker Industries Ltd.</w:t>
            </w:r>
          </w:p>
        </w:tc>
      </w:tr>
    </w:tbl>
    <w:bookmarkStart w:id="23" w:name="itemized-purchase-order-details"/>
    <w:p>
      <w:pPr>
        <w:pStyle w:val="Heading2"/>
      </w:pPr>
      <w:r>
        <w:t xml:space="preserve">Itemized Purchase Order Details</w:t>
      </w:r>
    </w:p>
    <w:p>
      <w:pPr>
        <w:pStyle w:val="FirstParagraph"/>
      </w:pPr>
      <w:r>
        <w:t xml:space="preserve">This</w:t>
      </w:r>
      <w:r>
        <w:t xml:space="preserve"> </w:t>
      </w:r>
      <w:r>
        <w:t xml:space="preserve">Purchase Order</w:t>
      </w:r>
      <w:r>
        <w:t xml:space="preserve"> </w:t>
      </w:r>
      <w:r>
        <w:t xml:space="preserve">is issued by</w:t>
      </w:r>
      <w:r>
        <w:t xml:space="preserve"> </w:t>
      </w:r>
      <w:r>
        <w:t xml:space="preserve">Baker</w:t>
      </w:r>
      <w:r>
        <w:t xml:space="preserve"> </w:t>
      </w:r>
      <w:r>
        <w:t xml:space="preserve">Industries Ltd., a registered entity operating within the city of</w:t>
      </w:r>
      <w:r>
        <w:t xml:space="preserve"> </w:t>
      </w:r>
      <w:r>
        <w:t xml:space="preserve">Israel Jerusalem</w:t>
      </w:r>
      <w:r>
        <w:t xml:space="preserve">, for the procurement of industrial baking equipment, raw materials, and ancillary supplies required for the upcoming production quarter. All items listed below are to be delivered to the Baker facility located in the heart of Jerusalem, Israel, in accordance with the specifications and timelines outlined herein.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001</w:t>
            </w:r>
          </w:p>
        </w:tc>
        <w:tc>
          <w:tcPr/>
          <w:p>
            <w:pPr>
              <w:pStyle w:val="Compact"/>
              <w:jc w:val="left"/>
            </w:pPr>
            <w:r>
              <w:t xml:space="preserve">Industrial Spiral Mixer, 120L Capacity (Baker-Approved Model SM-120)</w:t>
            </w:r>
          </w:p>
        </w:tc>
        <w:tc>
          <w:tcPr/>
          <w:p>
            <w:pPr>
              <w:pStyle w:val="Compact"/>
              <w:jc w:val="left"/>
            </w:pPr>
            <w:r>
              <w:t xml:space="preserve">4</w:t>
            </w:r>
          </w:p>
        </w:tc>
        <w:tc>
          <w:tcPr/>
          <w:p>
            <w:pPr>
              <w:pStyle w:val="Compact"/>
              <w:jc w:val="left"/>
            </w:pPr>
            <w:r>
              <w:t xml:space="preserve">Units</w:t>
            </w:r>
          </w:p>
        </w:tc>
        <w:tc>
          <w:tcPr/>
          <w:p>
            <w:pPr>
              <w:pStyle w:val="Compact"/>
              <w:jc w:val="left"/>
            </w:pPr>
            <w:r>
              <w:t xml:space="preserve">48,500.00</w:t>
            </w:r>
          </w:p>
        </w:tc>
        <w:tc>
          <w:tcPr/>
          <w:p>
            <w:pPr>
              <w:pStyle w:val="Compact"/>
              <w:jc w:val="left"/>
            </w:pPr>
            <w:r>
              <w:t xml:space="preserve">194,000.00</w:t>
            </w:r>
          </w:p>
        </w:tc>
      </w:tr>
      <w:tr>
        <w:tc>
          <w:tcPr/>
          <w:p>
            <w:pPr>
              <w:pStyle w:val="Compact"/>
              <w:jc w:val="left"/>
            </w:pPr>
            <w:r>
              <w:t xml:space="preserve">002</w:t>
            </w:r>
          </w:p>
        </w:tc>
        <w:tc>
          <w:tcPr/>
          <w:p>
            <w:pPr>
              <w:pStyle w:val="Compact"/>
              <w:jc w:val="left"/>
            </w:pPr>
            <w:r>
              <w:t xml:space="preserve">Conveyor Belt Oven System, 3-Stage, 2.4m Length</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112,000.00</w:t>
            </w:r>
          </w:p>
        </w:tc>
        <w:tc>
          <w:tcPr/>
          <w:p>
            <w:pPr>
              <w:pStyle w:val="Compact"/>
              <w:jc w:val="left"/>
            </w:pPr>
            <w:r>
              <w:t xml:space="preserve">224,000.00</w:t>
            </w:r>
          </w:p>
        </w:tc>
      </w:tr>
      <w:tr>
        <w:tc>
          <w:tcPr/>
          <w:p>
            <w:pPr>
              <w:pStyle w:val="Compact"/>
              <w:jc w:val="left"/>
            </w:pPr>
            <w:r>
              <w:t xml:space="preserve">003</w:t>
            </w:r>
          </w:p>
        </w:tc>
        <w:tc>
          <w:tcPr/>
          <w:p>
            <w:pPr>
              <w:pStyle w:val="Compact"/>
              <w:jc w:val="left"/>
            </w:pPr>
            <w:r>
              <w:t xml:space="preserve">Premium Bread Flour, Stone-Ground, 25kg Sacks</w:t>
            </w:r>
          </w:p>
        </w:tc>
        <w:tc>
          <w:tcPr/>
          <w:p>
            <w:pPr>
              <w:pStyle w:val="Compact"/>
              <w:jc w:val="left"/>
            </w:pPr>
            <w:r>
              <w:t xml:space="preserve">200</w:t>
            </w:r>
          </w:p>
        </w:tc>
        <w:tc>
          <w:tcPr/>
          <w:p>
            <w:pPr>
              <w:pStyle w:val="Compact"/>
              <w:jc w:val="left"/>
            </w:pPr>
            <w:r>
              <w:t xml:space="preserve">Sacks</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004</w:t>
            </w:r>
          </w:p>
        </w:tc>
        <w:tc>
          <w:tcPr/>
          <w:p>
            <w:pPr>
              <w:pStyle w:val="Compact"/>
              <w:jc w:val="left"/>
            </w:pPr>
            <w:r>
              <w:t xml:space="preserve">Active Dry Yeast, Commercial Grade, 5kg Bags</w:t>
            </w:r>
          </w:p>
        </w:tc>
        <w:tc>
          <w:tcPr/>
          <w:p>
            <w:pPr>
              <w:pStyle w:val="Compact"/>
              <w:jc w:val="left"/>
            </w:pPr>
            <w:r>
              <w:t xml:space="preserve">150</w:t>
            </w:r>
          </w:p>
        </w:tc>
        <w:tc>
          <w:tcPr/>
          <w:p>
            <w:pPr>
              <w:pStyle w:val="Compact"/>
              <w:jc w:val="left"/>
            </w:pPr>
            <w:r>
              <w:t xml:space="preserve">Bags</w:t>
            </w:r>
          </w:p>
        </w:tc>
        <w:tc>
          <w:tcPr/>
          <w:p>
            <w:pPr>
              <w:pStyle w:val="Compact"/>
              <w:jc w:val="left"/>
            </w:pPr>
            <w:r>
              <w:t xml:space="preserve">92.50</w:t>
            </w:r>
          </w:p>
        </w:tc>
        <w:tc>
          <w:tcPr/>
          <w:p>
            <w:pPr>
              <w:pStyle w:val="Compact"/>
              <w:jc w:val="left"/>
            </w:pPr>
            <w:r>
              <w:t xml:space="preserve">13,875.00</w:t>
            </w:r>
          </w:p>
        </w:tc>
      </w:tr>
      <w:tr>
        <w:tc>
          <w:tcPr/>
          <w:p>
            <w:pPr>
              <w:pStyle w:val="Compact"/>
              <w:jc w:val="left"/>
            </w:pPr>
            <w:r>
              <w:t xml:space="preserve">005</w:t>
            </w:r>
          </w:p>
        </w:tc>
        <w:tc>
          <w:tcPr/>
          <w:p>
            <w:pPr>
              <w:pStyle w:val="Compact"/>
              <w:jc w:val="left"/>
            </w:pPr>
            <w:r>
              <w:t xml:space="preserve">Stainless Steel Baking Trays, 60x40cm, Food-Grade</w:t>
            </w:r>
          </w:p>
        </w:tc>
        <w:tc>
          <w:tcPr/>
          <w:p>
            <w:pPr>
              <w:pStyle w:val="Compact"/>
              <w:jc w:val="left"/>
            </w:pPr>
            <w:r>
              <w:t xml:space="preserve">500</w:t>
            </w:r>
          </w:p>
        </w:tc>
        <w:tc>
          <w:tcPr/>
          <w:p>
            <w:pPr>
              <w:pStyle w:val="Compact"/>
              <w:jc w:val="left"/>
            </w:pPr>
            <w:r>
              <w:t xml:space="preserve">Pieces</w:t>
            </w:r>
          </w:p>
        </w:tc>
        <w:tc>
          <w:tcPr/>
          <w:p>
            <w:pPr>
              <w:pStyle w:val="Compact"/>
              <w:jc w:val="left"/>
            </w:pPr>
            <w:r>
              <w:t xml:space="preserve">68.00</w:t>
            </w:r>
          </w:p>
        </w:tc>
        <w:tc>
          <w:tcPr/>
          <w:p>
            <w:pPr>
              <w:pStyle w:val="Compact"/>
              <w:jc w:val="left"/>
            </w:pPr>
            <w:r>
              <w:t xml:space="preserve">34,000.00</w:t>
            </w:r>
          </w:p>
        </w:tc>
      </w:tr>
      <w:tr>
        <w:tc>
          <w:tcPr/>
          <w:p>
            <w:pPr>
              <w:pStyle w:val="Compact"/>
              <w:jc w:val="left"/>
            </w:pPr>
            <w:r>
              <w:t xml:space="preserve">006</w:t>
            </w:r>
          </w:p>
        </w:tc>
        <w:tc>
          <w:tcPr/>
          <w:p>
            <w:pPr>
              <w:pStyle w:val="Compact"/>
              <w:jc w:val="left"/>
            </w:pPr>
            <w:r>
              <w:t xml:space="preserve">Dough Sheeter, 650mm Width, Adjustable Thickness</w:t>
            </w:r>
          </w:p>
        </w:tc>
        <w:tc>
          <w:tcPr/>
          <w:p>
            <w:pPr>
              <w:pStyle w:val="Compact"/>
              <w:jc w:val="left"/>
            </w:pPr>
            <w:r>
              <w:t xml:space="preserve">3</w:t>
            </w:r>
          </w:p>
        </w:tc>
        <w:tc>
          <w:tcPr/>
          <w:p>
            <w:pPr>
              <w:pStyle w:val="Compact"/>
              <w:jc w:val="left"/>
            </w:pPr>
            <w:r>
              <w:t xml:space="preserve">Units</w:t>
            </w:r>
          </w:p>
        </w:tc>
        <w:tc>
          <w:tcPr/>
          <w:p>
            <w:pPr>
              <w:pStyle w:val="Compact"/>
              <w:jc w:val="left"/>
            </w:pPr>
            <w:r>
              <w:t xml:space="preserve">36,200.00</w:t>
            </w:r>
          </w:p>
        </w:tc>
        <w:tc>
          <w:tcPr/>
          <w:p>
            <w:pPr>
              <w:pStyle w:val="Compact"/>
              <w:jc w:val="left"/>
            </w:pPr>
            <w:r>
              <w:t xml:space="preserve">108,600.00</w:t>
            </w:r>
          </w:p>
        </w:tc>
      </w:tr>
      <w:tr>
        <w:tc>
          <w:tcPr/>
          <w:p>
            <w:pPr>
              <w:pStyle w:val="Compact"/>
              <w:jc w:val="left"/>
            </w:pPr>
            <w:r>
              <w:t xml:space="preserve">007</w:t>
            </w:r>
          </w:p>
        </w:tc>
        <w:tc>
          <w:tcPr/>
          <w:p>
            <w:pPr>
              <w:pStyle w:val="Compact"/>
              <w:jc w:val="left"/>
            </w:pPr>
            <w:r>
              <w:t xml:space="preserve">Propane Gas Cylinders, 47kg, Certified for Israel Jerusalem Distribution</w:t>
            </w:r>
          </w:p>
        </w:tc>
        <w:tc>
          <w:tcPr/>
          <w:p>
            <w:pPr>
              <w:pStyle w:val="Compact"/>
              <w:jc w:val="left"/>
            </w:pPr>
            <w:r>
              <w:t xml:space="preserve">24</w:t>
            </w:r>
          </w:p>
        </w:tc>
        <w:tc>
          <w:tcPr/>
          <w:p>
            <w:pPr>
              <w:pStyle w:val="Compact"/>
              <w:jc w:val="left"/>
            </w:pPr>
            <w:r>
              <w:t xml:space="preserve">Cylinders</w:t>
            </w:r>
          </w:p>
        </w:tc>
        <w:tc>
          <w:tcPr/>
          <w:p>
            <w:pPr>
              <w:pStyle w:val="Compact"/>
              <w:jc w:val="left"/>
            </w:pPr>
            <w:r>
              <w:t xml:space="preserve">1,240.00</w:t>
            </w:r>
          </w:p>
        </w:tc>
        <w:tc>
          <w:tcPr/>
          <w:p>
            <w:pPr>
              <w:pStyle w:val="Compact"/>
              <w:jc w:val="left"/>
            </w:pPr>
            <w:r>
              <w:t xml:space="preserve">29,760.00</w:t>
            </w:r>
          </w:p>
        </w:tc>
      </w:tr>
      <w:tr>
        <w:tc>
          <w:tcPr/>
          <w:p>
            <w:pPr>
              <w:pStyle w:val="Compact"/>
              <w:jc w:val="left"/>
            </w:pPr>
            <w:r>
              <w:t xml:space="preserve">008</w:t>
            </w:r>
          </w:p>
        </w:tc>
        <w:tc>
          <w:tcPr/>
          <w:p>
            <w:pPr>
              <w:pStyle w:val="Compact"/>
              <w:jc w:val="left"/>
            </w:pPr>
            <w:r>
              <w:t xml:space="preserve">Food-Grade Vegetable Oil, 20L Drums</w:t>
            </w:r>
          </w:p>
        </w:tc>
        <w:tc>
          <w:tcPr/>
          <w:p>
            <w:pPr>
              <w:pStyle w:val="Compact"/>
              <w:jc w:val="left"/>
            </w:pPr>
            <w:r>
              <w:t xml:space="preserve">80</w:t>
            </w:r>
          </w:p>
        </w:tc>
        <w:tc>
          <w:tcPr/>
          <w:p>
            <w:pPr>
              <w:pStyle w:val="Compact"/>
              <w:jc w:val="left"/>
            </w:pPr>
            <w:r>
              <w:t xml:space="preserve">Drums</w:t>
            </w:r>
          </w:p>
        </w:tc>
        <w:tc>
          <w:tcPr/>
          <w:p>
            <w:pPr>
              <w:pStyle w:val="Compact"/>
              <w:jc w:val="left"/>
            </w:pPr>
            <w:r>
              <w:t xml:space="preserve">310.00</w:t>
            </w:r>
          </w:p>
        </w:tc>
        <w:tc>
          <w:tcPr/>
          <w:p>
            <w:pPr>
              <w:pStyle w:val="Compact"/>
              <w:jc w:val="left"/>
            </w:pPr>
            <w:r>
              <w:t xml:space="preserve">24,800.00</w:t>
            </w:r>
          </w:p>
        </w:tc>
      </w:tr>
      <w:tr>
        <w:tc>
          <w:tcPr/>
          <w:p>
            <w:pPr>
              <w:pStyle w:val="Compact"/>
              <w:jc w:val="left"/>
            </w:pPr>
            <w:r>
              <w:t xml:space="preserve">009</w:t>
            </w:r>
          </w:p>
        </w:tc>
        <w:tc>
          <w:tcPr/>
          <w:p>
            <w:pPr>
              <w:pStyle w:val="Compact"/>
              <w:jc w:val="left"/>
            </w:pPr>
            <w:r>
              <w:t xml:space="preserve">Temperature Calibration Kit, Oven-Specific, NIST-Traceable</w:t>
            </w:r>
          </w:p>
        </w:tc>
        <w:tc>
          <w:tcPr/>
          <w:p>
            <w:pPr>
              <w:pStyle w:val="Compact"/>
              <w:jc w:val="left"/>
            </w:pPr>
            <w:r>
              <w:t xml:space="preserve">6</w:t>
            </w:r>
          </w:p>
        </w:tc>
        <w:tc>
          <w:tcPr/>
          <w:p>
            <w:pPr>
              <w:pStyle w:val="Compact"/>
              <w:jc w:val="left"/>
            </w:pPr>
            <w:r>
              <w:t xml:space="preserve">Kits</w:t>
            </w:r>
          </w:p>
        </w:tc>
        <w:tc>
          <w:tcPr/>
          <w:p>
            <w:pPr>
              <w:pStyle w:val="Compact"/>
              <w:jc w:val="left"/>
            </w:pPr>
            <w:r>
              <w:t xml:space="preserve">4,750.00</w:t>
            </w:r>
          </w:p>
        </w:tc>
        <w:tc>
          <w:tcPr/>
          <w:p>
            <w:pPr>
              <w:pStyle w:val="Compact"/>
              <w:jc w:val="left"/>
            </w:pPr>
            <w:r>
              <w:t xml:space="preserve">28,500.00</w:t>
            </w:r>
          </w:p>
        </w:tc>
      </w:tr>
      <w:tr>
        <w:tc>
          <w:tcPr/>
          <w:p>
            <w:pPr>
              <w:pStyle w:val="Compact"/>
              <w:jc w:val="left"/>
            </w:pPr>
            <w:r>
              <w:t xml:space="preserve">010</w:t>
            </w:r>
          </w:p>
        </w:tc>
        <w:tc>
          <w:tcPr/>
          <w:p>
            <w:pPr>
              <w:pStyle w:val="Compact"/>
              <w:jc w:val="left"/>
            </w:pPr>
            <w:r>
              <w:t xml:space="preserve">Replacement Conveyor Belts, Heat-Resistant, 2.4m</w:t>
            </w:r>
          </w:p>
        </w:tc>
        <w:tc>
          <w:tcPr/>
          <w:p>
            <w:pPr>
              <w:pStyle w:val="Compact"/>
              <w:jc w:val="left"/>
            </w:pPr>
            <w:r>
              <w:t xml:space="preserve">8</w:t>
            </w:r>
          </w:p>
        </w:tc>
        <w:tc>
          <w:tcPr/>
          <w:p>
            <w:pPr>
              <w:pStyle w:val="Compact"/>
              <w:jc w:val="left"/>
            </w:pPr>
            <w:r>
              <w:t xml:space="preserve">Belts</w:t>
            </w:r>
          </w:p>
        </w:tc>
        <w:tc>
          <w:tcPr/>
          <w:p>
            <w:pPr>
              <w:pStyle w:val="Compact"/>
              <w:jc w:val="left"/>
            </w:pPr>
            <w:r>
              <w:t xml:space="preserve">3,900.00</w:t>
            </w:r>
          </w:p>
        </w:tc>
        <w:tc>
          <w:tcPr/>
          <w:p>
            <w:pPr>
              <w:pStyle w:val="Compact"/>
              <w:jc w:val="left"/>
            </w:pPr>
            <w:r>
              <w:t xml:space="preserve">31,200.00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725,735.00 ILS</w:t>
            </w:r>
          </w:p>
        </w:tc>
      </w:tr>
      <w:tr>
        <w:tc>
          <w:tcPr/>
          <w:p>
            <w:pPr>
              <w:pStyle w:val="Compact"/>
              <w:jc w:val="left"/>
            </w:pPr>
            <w:r>
              <w:t xml:space="preserve">VAT (18%):</w:t>
            </w:r>
          </w:p>
        </w:tc>
        <w:tc>
          <w:tcPr/>
          <w:p>
            <w:pPr>
              <w:pStyle w:val="Compact"/>
              <w:jc w:val="right"/>
            </w:pPr>
            <w:r>
              <w:t xml:space="preserve">130,632.30 ILS</w:t>
            </w:r>
          </w:p>
        </w:tc>
      </w:tr>
      <w:tr>
        <w:tc>
          <w:tcPr/>
          <w:p>
            <w:pPr>
              <w:pStyle w:val="Compact"/>
              <w:jc w:val="left"/>
            </w:pPr>
            <w:r>
              <w:t xml:space="preserve">Delivery &amp; Installation (Jerusalem, Israel):</w:t>
            </w:r>
          </w:p>
        </w:tc>
        <w:tc>
          <w:tcPr/>
          <w:p>
            <w:pPr>
              <w:pStyle w:val="Compact"/>
              <w:jc w:val="right"/>
            </w:pPr>
            <w:r>
              <w:t xml:space="preserve">12,500.00 ILS</w:t>
            </w:r>
          </w:p>
        </w:tc>
      </w:tr>
      <w:tr>
        <w:tc>
          <w:tcPr/>
          <w:p>
            <w:pPr>
              <w:pStyle w:val="Compact"/>
              <w:jc w:val="left"/>
            </w:pPr>
            <w:r>
              <w:t xml:space="preserve">Grand Total:</w:t>
            </w:r>
          </w:p>
        </w:tc>
        <w:tc>
          <w:tcPr/>
          <w:p>
            <w:pPr>
              <w:pStyle w:val="Compact"/>
              <w:jc w:val="right"/>
            </w:pPr>
            <w:r>
              <w:t xml:space="preserve">868,867.30 ILS</w:t>
            </w:r>
          </w:p>
        </w:tc>
      </w:tr>
    </w:tbl>
    <w:bookmarkEnd w:id="23"/>
    <w:bookmarkStart w:id="24" w:name="terms-and-conditions"/>
    <w:p>
      <w:pPr>
        <w:pStyle w:val="Heading2"/>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w:t>
      </w:r>
      <w:r>
        <w:t xml:space="preserve"> </w:t>
      </w:r>
      <w:r>
        <w:t xml:space="preserve">Baker</w:t>
      </w:r>
      <w:r>
        <w:t xml:space="preserve"> </w:t>
      </w:r>
      <w:r>
        <w:t xml:space="preserve">Industries Ltd. (hereinafter referred to as "Baker") and Mediterranean Supply Co. (hereinafter referred to as "Supplier") for the supply of goods as itemized above. All transactions are governed by the laws of the State of Israel, with jurisdiction vested in the courts of Jerusalem, Israel.</w:t>
      </w:r>
    </w:p>
    <w:p>
      <w:pPr>
        <w:numPr>
          <w:ilvl w:val="0"/>
          <w:numId w:val="1001"/>
        </w:numPr>
        <w:pStyle w:val="Compact"/>
      </w:pPr>
      <w:r>
        <w:t xml:space="preserve">All goods must be delivered to the Baker Industries facility at 14 King George Street, Jerusalem, Israel, no later than 04 July 2025. Delivery times are between 08:00 and 16:00 Israel Standard Time (IST). The Supplier shall coordinate with Baker's receiving department at least 48 hours prior to the scheduled delivery date.</w:t>
      </w:r>
    </w:p>
    <w:p>
      <w:pPr>
        <w:numPr>
          <w:ilvl w:val="0"/>
          <w:numId w:val="1001"/>
        </w:numPr>
        <w:pStyle w:val="Compact"/>
      </w:pPr>
      <w:r>
        <w:t xml:space="preserve">Payment shall be made within thirty (30) calendar days of the Supplier's invoice date, via bank transfer to the account designated by Baker Industries Ltd. All payments shall be processed in Israeli New Shekels (ILS) through a licensed Israeli financial institution operating in Jerusalem.</w:t>
      </w:r>
    </w:p>
    <w:p>
      <w:pPr>
        <w:numPr>
          <w:ilvl w:val="0"/>
          <w:numId w:val="1001"/>
        </w:numPr>
        <w:pStyle w:val="Compact"/>
      </w:pPr>
      <w:r>
        <w:t xml:space="preserve">All equipment and materials must comply with the standards set forth by the Israeli Standards Institute (SII) and the Israel Food Standards Authority. Baker reserves the right to inspect all goods upon arrival at the Jerusalem warehouse and to reject any items that do not meet the specified quality parameters.</w:t>
      </w:r>
    </w:p>
    <w:p>
      <w:pPr>
        <w:numPr>
          <w:ilvl w:val="0"/>
          <w:numId w:val="1001"/>
        </w:numPr>
        <w:pStyle w:val="Compact"/>
      </w:pPr>
      <w:r>
        <w:t xml:space="preserve">The Supplier warrants that all goods are new, unused, and free from defects in materials and workmanship. A minimum warranty period of twenty-four (24) months applies to all mechanical and electrical equipment. Consumable goods (flour, yeast, oil, gas) must carry a minimum shelf life of six (6) months at the time of delivery.</w:t>
      </w:r>
    </w:p>
    <w:p>
      <w:pPr>
        <w:numPr>
          <w:ilvl w:val="0"/>
          <w:numId w:val="1001"/>
        </w:numPr>
        <w:pStyle w:val="Compact"/>
      </w:pPr>
      <w:r>
        <w:t xml:space="preserve">Any delay in delivery beyond the stipulated deadline shall incur a penalty of 0.5% of the total Purchase Order value per calendar day of delay, up to a maximum of 10% of the total value. Baker reserves the right to cancel this Purchase Order in its entirety if delivery is delayed by more than fourteen (14) calendar days.</w:t>
      </w:r>
    </w:p>
    <w:p>
      <w:pPr>
        <w:numPr>
          <w:ilvl w:val="0"/>
          <w:numId w:val="1001"/>
        </w:numPr>
        <w:pStyle w:val="Compact"/>
      </w:pPr>
      <w:r>
        <w:t xml:space="preserve">All packaging must be suitable for transport within the urban environment of Israel Jerusalem, including narrow access roads and loading dock constraints at the Baker facility. The Supplier is responsible for all unloading and initial placement of equipment within the designated warehouse area.</w:t>
      </w:r>
    </w:p>
    <w:p>
      <w:pPr>
        <w:numPr>
          <w:ilvl w:val="0"/>
          <w:numId w:val="1001"/>
        </w:numPr>
        <w:pStyle w:val="Compact"/>
      </w:pPr>
      <w:r>
        <w:t xml:space="preserve">This Purchase Order may not be assigned or transferred by either party without the prior written consent of the other. Any amendments to this document must be executed in writing and signed by authorized representatives of both Baker Industries Ltd. and the Supplier.</w:t>
      </w:r>
    </w:p>
    <w:p>
      <w:pPr>
        <w:numPr>
          <w:ilvl w:val="0"/>
          <w:numId w:val="1001"/>
        </w:numPr>
        <w:pStyle w:val="Compact"/>
      </w:pPr>
      <w:r>
        <w:t xml:space="preserve">Confidentiality: Both parties agree to maintain strict confidentiality regarding the terms, pricing, and specifications contained in this Purchase Order. No information shall be disclosed to third parties without mutual written agreement, in accordance with Israeli data protection regulations.</w:t>
      </w:r>
    </w:p>
    <w:p>
      <w:pPr>
        <w:numPr>
          <w:ilvl w:val="0"/>
          <w:numId w:val="1001"/>
        </w:numPr>
        <w:pStyle w:val="Compact"/>
      </w:pPr>
      <w:r>
        <w:t xml:space="preserve">Force Majeure: Neither party shall be held liable for failure to perform obligations under this Purchase Order if such failure results from events beyond reasonable control, including but not limited to natural disasters, government actions, or civil unrest affecting the Jerusalem, Israel region.</w:t>
      </w:r>
    </w:p>
    <w:bookmarkEnd w:id="24"/>
    <w:bookmarkStart w:id="25" w:name="authorization-and-acceptance"/>
    <w:p>
      <w:pPr>
        <w:pStyle w:val="Heading2"/>
      </w:pPr>
      <w:r>
        <w:t xml:space="preserve">Authorization and Acceptance</w:t>
      </w:r>
    </w:p>
    <w:p>
      <w:pPr>
        <w:pStyle w:val="FirstParagraph"/>
      </w:pPr>
      <w:r>
        <w:t xml:space="preserve">By signing below, the authorized representatives of both parties acknowledge and agree to all terms, conditions, and specifications outlined in this Purchase Order. This document, once executed, serves as the definitive procurement record for Baker Industries Ltd. and shall be retained in the company's official archives in Jerusalem, Israel, for a minimum period of seven (7) years in compliance with Israeli commercial law.</w:t>
      </w:r>
    </w:p>
    <w:p>
      <w:pPr>
        <w:pStyle w:val="BodyText"/>
      </w:pPr>
      <w:r>
        <w:rPr>
          <w:bCs/>
          <w:b/>
        </w:rPr>
        <w:t xml:space="preserve">For Baker Industries Ltd. (Purchaser)</w:t>
      </w:r>
      <w:r>
        <w:br/>
      </w:r>
      <w:r>
        <w:t xml:space="preserve">Name: David Cohen</w:t>
      </w:r>
      <w:r>
        <w:br/>
      </w:r>
      <w:r>
        <w:t xml:space="preserve">Title: Head of Procurement</w:t>
      </w:r>
      <w:r>
        <w:br/>
      </w:r>
      <w:r>
        <w:t xml:space="preserve">Date: _______________</w:t>
      </w:r>
    </w:p>
    <w:p>
      <w:pPr>
        <w:pStyle w:val="BodyText"/>
      </w:pPr>
      <w:r>
        <w:rPr>
          <w:bCs/>
          <w:b/>
        </w:rPr>
        <w:t xml:space="preserve">For Mediterranean Supply Co. (Supplier)</w:t>
      </w:r>
      <w:r>
        <w:br/>
      </w:r>
      <w:r>
        <w:t xml:space="preserve">Name: _______________</w:t>
      </w:r>
      <w:r>
        <w:br/>
      </w:r>
      <w:r>
        <w:t xml:space="preserve">Title: _______________</w:t>
      </w:r>
      <w:r>
        <w:br/>
      </w:r>
      <w:r>
        <w:t xml:space="preserve">Date: _______________</w:t>
      </w:r>
    </w:p>
    <w:p>
      <w:pPr>
        <w:pStyle w:val="BodyText"/>
      </w:pPr>
      <w:r>
        <w:rPr>
          <w:bCs/>
          <w:b/>
        </w:rPr>
        <w:t xml:space="preserve">Purchase Order No. PO-BAKER-2025-0417-JR</w:t>
      </w:r>
      <w:r>
        <w:t xml:space="preserve"> </w:t>
      </w:r>
      <w:r>
        <w:t xml:space="preserve">— Issued by Baker Industries Ltd., Jerusalem, Israel</w:t>
      </w:r>
    </w:p>
    <w:p>
      <w:pPr>
        <w:pStyle w:val="BodyText"/>
      </w:pPr>
      <w:r>
        <w:t xml:space="preserve">This document is the property of Baker Industries Ltd. Unauthorized reproduction or distribution is prohibited under Israeli intellectual property law.</w:t>
      </w:r>
    </w:p>
    <w:p>
      <w:pPr>
        <w:pStyle w:val="BodyText"/>
      </w:pPr>
      <w:r>
        <w:t xml:space="preserve">Document Reference: BKR-JR-PROC-2025-0617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Israel Jerusalem</dc:title>
  <dc:creator/>
  <dc:language>en</dc:language>
  <cp:keywords/>
  <dcterms:created xsi:type="dcterms:W3CDTF">2026-10-10T03:12:18Z</dcterms:created>
  <dcterms:modified xsi:type="dcterms:W3CDTF">2026-10-10T03:12:18Z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