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Baker Supply Co. — Philippines Manila Operations</w:t>
      </w:r>
    </w:p>
    <w:p>
      <w:pPr>
        <w:pStyle w:val="BodyText"/>
      </w:pPr>
      <w:r>
        <w:t xml:space="preserve">Official Procurement Document for the Philippines Manila Region</w:t>
      </w:r>
    </w:p>
    <w:bookmarkEnd w:id="20"/>
    <w:p>
      <w:pPr>
        <w:pStyle w:val="BodyText"/>
      </w:pPr>
      <w:r>
        <w:t xml:space="preserve">Purchase Order No.:</w:t>
      </w:r>
      <w:r>
        <w:br/>
      </w:r>
      <w:r>
        <w:t xml:space="preserve">PO-PHL-MNL-2025-04872</w:t>
      </w:r>
    </w:p>
    <w:p>
      <w:pPr>
        <w:pStyle w:val="BodyText"/>
      </w:pPr>
      <w:r>
        <w:t xml:space="preserve">Date of Issue:</w:t>
      </w:r>
      <w:r>
        <w:br/>
      </w:r>
      <w:r>
        <w:t xml:space="preserve">June 12, 2025</w:t>
      </w:r>
    </w:p>
    <w:p>
      <w:pPr>
        <w:pStyle w:val="BodyText"/>
      </w:pPr>
      <w:r>
        <w:t xml:space="preserve">Delivery Deadline:</w:t>
      </w:r>
      <w:r>
        <w:br/>
      </w:r>
      <w:r>
        <w:t xml:space="preserve">July 15, 2025</w:t>
      </w:r>
    </w:p>
    <w:p>
      <w:pPr>
        <w:pStyle w:val="BodyText"/>
      </w:pPr>
      <w:r>
        <w:t xml:space="preserve">Currency:</w:t>
      </w:r>
      <w:r>
        <w:br/>
      </w:r>
      <w:r>
        <w:t xml:space="preserve">Philippine Peso (PHP)</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Metro Manila Hospitality Group, Inc.</w:t>
      </w:r>
    </w:p>
    <w:p>
      <w:pPr>
        <w:pStyle w:val="BodyText"/>
      </w:pPr>
      <w:r>
        <w:rPr>
          <w:bCs/>
          <w:b/>
        </w:rPr>
        <w:t xml:space="preserve">Address:</w:t>
      </w:r>
      <w:r>
        <w:t xml:space="preserve"> </w:t>
      </w:r>
      <w:r>
        <w:t xml:space="preserve">128 Ayala Avenue, Makati City, Philippines Manila, 1226</w:t>
      </w:r>
    </w:p>
    <w:p>
      <w:pPr>
        <w:pStyle w:val="BodyText"/>
      </w:pPr>
      <w:r>
        <w:rPr>
          <w:bCs/>
          <w:b/>
        </w:rPr>
        <w:t xml:space="preserve">Contact Person:</w:t>
      </w:r>
      <w:r>
        <w:t xml:space="preserve"> </w:t>
      </w:r>
      <w:r>
        <w:t xml:space="preserve">Engr. Ricardo S. Villanueva, Procurement Director</w:t>
      </w:r>
    </w:p>
    <w:p>
      <w:pPr>
        <w:pStyle w:val="BodyText"/>
      </w:pPr>
      <w:r>
        <w:rPr>
          <w:bCs/>
          <w:b/>
        </w:rPr>
        <w:t xml:space="preserve">Email:</w:t>
      </w:r>
      <w:r>
        <w:t xml:space="preserve"> </w:t>
      </w:r>
      <w:r>
        <w:t xml:space="preserve">procurement@mmhg-manila.ph</w:t>
      </w:r>
    </w:p>
    <w:p>
      <w:pPr>
        <w:pStyle w:val="BodyText"/>
      </w:pPr>
      <w:r>
        <w:rPr>
          <w:bCs/>
          <w:b/>
        </w:rPr>
        <w:t xml:space="preserve">Telephone:</w:t>
      </w:r>
      <w:r>
        <w:t xml:space="preserve"> </w:t>
      </w:r>
      <w:r>
        <w:t xml:space="preserve">+63 (2) 8834-5671</w:t>
      </w:r>
    </w:p>
    <w:p>
      <w:pPr>
        <w:pStyle w:val="BodyText"/>
      </w:pPr>
      <w:r>
        <w:rPr>
          <w:bCs/>
          <w:b/>
        </w:rPr>
        <w:t xml:space="preserve">TIN:</w:t>
      </w:r>
      <w:r>
        <w:t xml:space="preserve"> </w:t>
      </w:r>
      <w:r>
        <w:t xml:space="preserve">000-123-456-000</w:t>
      </w:r>
    </w:p>
    <w:bookmarkEnd w:id="21"/>
    <w:bookmarkStart w:id="22" w:name="seller-vendor"/>
    <w:p>
      <w:pPr>
        <w:pStyle w:val="Heading3"/>
      </w:pPr>
      <w:r>
        <w:t xml:space="preserve">SELLER / VENDOR</w:t>
      </w:r>
    </w:p>
    <w:p>
      <w:pPr>
        <w:pStyle w:val="FirstParagraph"/>
      </w:pPr>
      <w:r>
        <w:rPr>
          <w:bCs/>
          <w:b/>
        </w:rPr>
        <w:t xml:space="preserve">Company:</w:t>
      </w:r>
      <w:r>
        <w:t xml:space="preserve"> </w:t>
      </w:r>
      <w:r>
        <w:t xml:space="preserve">Baker Industrial Supply &amp; Equipment Co., Ltd.</w:t>
      </w:r>
    </w:p>
    <w:p>
      <w:pPr>
        <w:pStyle w:val="BodyText"/>
      </w:pPr>
      <w:r>
        <w:rPr>
          <w:bCs/>
          <w:b/>
        </w:rPr>
        <w:t xml:space="preserve">Address:</w:t>
      </w:r>
      <w:r>
        <w:t xml:space="preserve"> </w:t>
      </w:r>
      <w:r>
        <w:t xml:space="preserve">45 Baker Road, Quezon City, Philippines Manila, 1101</w:t>
      </w:r>
    </w:p>
    <w:p>
      <w:pPr>
        <w:pStyle w:val="BodyText"/>
      </w:pPr>
      <w:r>
        <w:rPr>
          <w:bCs/>
          <w:b/>
        </w:rPr>
        <w:t xml:space="preserve">Contact Person:</w:t>
      </w:r>
      <w:r>
        <w:t xml:space="preserve"> </w:t>
      </w:r>
      <w:r>
        <w:t xml:space="preserve">Ms. Angela T. Baker, Sales Manager</w:t>
      </w:r>
    </w:p>
    <w:p>
      <w:pPr>
        <w:pStyle w:val="BodyText"/>
      </w:pPr>
      <w:r>
        <w:rPr>
          <w:bCs/>
          <w:b/>
        </w:rPr>
        <w:t xml:space="preserve">Email:</w:t>
      </w:r>
      <w:r>
        <w:t xml:space="preserve"> </w:t>
      </w:r>
      <w:r>
        <w:t xml:space="preserve">sales@baker-supply-ph.com</w:t>
      </w:r>
    </w:p>
    <w:p>
      <w:pPr>
        <w:pStyle w:val="BodyText"/>
      </w:pPr>
      <w:r>
        <w:rPr>
          <w:bCs/>
          <w:b/>
        </w:rPr>
        <w:t xml:space="preserve">Telephone:</w:t>
      </w:r>
      <w:r>
        <w:t xml:space="preserve"> </w:t>
      </w:r>
      <w:r>
        <w:t xml:space="preserve">+63 (2) 8721-9934</w:t>
      </w:r>
    </w:p>
    <w:p>
      <w:pPr>
        <w:pStyle w:val="BodyText"/>
      </w:pPr>
      <w:r>
        <w:rPr>
          <w:bCs/>
          <w:b/>
        </w:rPr>
        <w:t xml:space="preserve">TIN:</w:t>
      </w:r>
      <w:r>
        <w:t xml:space="preserve"> </w:t>
      </w:r>
      <w:r>
        <w:t xml:space="preserve">000-654-321-000</w:t>
      </w:r>
    </w:p>
    <w:bookmarkEnd w:id="22"/>
    <w:bookmarkStart w:id="24" w:name="line-items-baker-product-catalog"/>
    <w:p>
      <w:pPr>
        <w:pStyle w:val="Heading2"/>
      </w:pPr>
      <w:r>
        <w:t xml:space="preserve">Line Items — Baker Product Catalog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001</w:t>
            </w:r>
          </w:p>
        </w:tc>
        <w:tc>
          <w:tcPr/>
          <w:p>
            <w:pPr>
              <w:pStyle w:val="Compact"/>
              <w:jc w:val="left"/>
            </w:pPr>
            <w:r>
              <w:t xml:space="preserve">Baker Professional-Grade Commercial Oven, Model BK-4500 (Stainless Steel, 450L Capacity)</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002</w:t>
            </w:r>
          </w:p>
        </w:tc>
        <w:tc>
          <w:tcPr/>
          <w:p>
            <w:pPr>
              <w:pStyle w:val="Compact"/>
              <w:jc w:val="left"/>
            </w:pPr>
            <w:r>
              <w:t xml:space="preserve">Baker Heavy-Duty Dough Mixer, Model BK-DM220 (220L, Industrial Motor)</w:t>
            </w:r>
          </w:p>
        </w:tc>
        <w:tc>
          <w:tcPr/>
          <w:p>
            <w:pPr>
              <w:pStyle w:val="Compact"/>
              <w:jc w:val="left"/>
            </w:pPr>
            <w:r>
              <w:t xml:space="preserve">4</w:t>
            </w:r>
          </w:p>
        </w:tc>
        <w:tc>
          <w:tcPr/>
          <w:p>
            <w:pPr>
              <w:pStyle w:val="Compact"/>
              <w:jc w:val="left"/>
            </w:pPr>
            <w:r>
              <w:t xml:space="preserve">Units</w:t>
            </w:r>
          </w:p>
        </w:tc>
        <w:tc>
          <w:tcPr/>
          <w:p>
            <w:pPr>
              <w:pStyle w:val="Compact"/>
              <w:jc w:val="left"/>
            </w:pPr>
            <w:r>
              <w:t xml:space="preserve">92,500.00</w:t>
            </w:r>
          </w:p>
        </w:tc>
        <w:tc>
          <w:tcPr/>
          <w:p>
            <w:pPr>
              <w:pStyle w:val="Compact"/>
              <w:jc w:val="left"/>
            </w:pPr>
            <w:r>
              <w:t xml:space="preserve">370,000.00</w:t>
            </w:r>
          </w:p>
        </w:tc>
      </w:tr>
      <w:tr>
        <w:tc>
          <w:tcPr/>
          <w:p>
            <w:pPr>
              <w:pStyle w:val="Compact"/>
              <w:jc w:val="left"/>
            </w:pPr>
            <w:r>
              <w:t xml:space="preserve">003</w:t>
            </w:r>
          </w:p>
        </w:tc>
        <w:tc>
          <w:tcPr/>
          <w:p>
            <w:pPr>
              <w:pStyle w:val="Compact"/>
              <w:jc w:val="left"/>
            </w:pPr>
            <w:r>
              <w:t xml:space="preserve">Baker Commercial Refrigerated Display Case, Model BK-RDC-300 (300L, Dual Zone)</w:t>
            </w:r>
          </w:p>
        </w:tc>
        <w:tc>
          <w:tcPr/>
          <w:p>
            <w:pPr>
              <w:pStyle w:val="Compact"/>
              <w:jc w:val="left"/>
            </w:pPr>
            <w:r>
              <w:t xml:space="preserve">8</w:t>
            </w:r>
          </w:p>
        </w:tc>
        <w:tc>
          <w:tcPr/>
          <w:p>
            <w:pPr>
              <w:pStyle w:val="Compact"/>
              <w:jc w:val="left"/>
            </w:pPr>
            <w:r>
              <w:t xml:space="preserve">Units</w:t>
            </w:r>
          </w:p>
        </w:tc>
        <w:tc>
          <w:tcPr/>
          <w:p>
            <w:pPr>
              <w:pStyle w:val="Compact"/>
              <w:jc w:val="left"/>
            </w:pPr>
            <w:r>
              <w:t xml:space="preserve">67,800.00</w:t>
            </w:r>
          </w:p>
        </w:tc>
        <w:tc>
          <w:tcPr/>
          <w:p>
            <w:pPr>
              <w:pStyle w:val="Compact"/>
              <w:jc w:val="left"/>
            </w:pPr>
            <w:r>
              <w:t xml:space="preserve">542,400.00</w:t>
            </w:r>
          </w:p>
        </w:tc>
      </w:tr>
      <w:tr>
        <w:tc>
          <w:tcPr/>
          <w:p>
            <w:pPr>
              <w:pStyle w:val="Compact"/>
              <w:jc w:val="left"/>
            </w:pPr>
            <w:r>
              <w:t xml:space="preserve">004</w:t>
            </w:r>
          </w:p>
        </w:tc>
        <w:tc>
          <w:tcPr/>
          <w:p>
            <w:pPr>
              <w:pStyle w:val="Compact"/>
              <w:jc w:val="left"/>
            </w:pPr>
            <w:r>
              <w:t xml:space="preserve">Baker Stainless Steel Work Table, Model BK-WT-180 (180cm, 3-Tier)</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18,250.00</w:t>
            </w:r>
          </w:p>
        </w:tc>
        <w:tc>
          <w:tcPr/>
          <w:p>
            <w:pPr>
              <w:pStyle w:val="Compact"/>
              <w:jc w:val="left"/>
            </w:pPr>
            <w:r>
              <w:t xml:space="preserve">219,000.00</w:t>
            </w:r>
          </w:p>
        </w:tc>
      </w:tr>
      <w:tr>
        <w:tc>
          <w:tcPr/>
          <w:p>
            <w:pPr>
              <w:pStyle w:val="Compact"/>
              <w:jc w:val="left"/>
            </w:pPr>
            <w:r>
              <w:t xml:space="preserve">005</w:t>
            </w:r>
          </w:p>
        </w:tc>
        <w:tc>
          <w:tcPr/>
          <w:p>
            <w:pPr>
              <w:pStyle w:val="Compact"/>
              <w:jc w:val="left"/>
            </w:pPr>
            <w:r>
              <w:t xml:space="preserve">Baker Professional Bread Proofer, Model BK-BP-120 (120L, Digital Control)</w:t>
            </w:r>
          </w:p>
        </w:tc>
        <w:tc>
          <w:tcPr/>
          <w:p>
            <w:pPr>
              <w:pStyle w:val="Compact"/>
              <w:jc w:val="left"/>
            </w:pPr>
            <w:r>
              <w:t xml:space="preserve">3</w:t>
            </w:r>
          </w:p>
        </w:tc>
        <w:tc>
          <w:tcPr/>
          <w:p>
            <w:pPr>
              <w:pStyle w:val="Compact"/>
              <w:jc w:val="left"/>
            </w:pPr>
            <w:r>
              <w:t xml:space="preserve">Units</w:t>
            </w:r>
          </w:p>
        </w:tc>
        <w:tc>
          <w:tcPr/>
          <w:p>
            <w:pPr>
              <w:pStyle w:val="Compact"/>
              <w:jc w:val="left"/>
            </w:pPr>
            <w:r>
              <w:t xml:space="preserve">54,000.00</w:t>
            </w:r>
          </w:p>
        </w:tc>
        <w:tc>
          <w:tcPr/>
          <w:p>
            <w:pPr>
              <w:pStyle w:val="Compact"/>
              <w:jc w:val="left"/>
            </w:pPr>
            <w:r>
              <w:t xml:space="preserve">162,000.00</w:t>
            </w:r>
          </w:p>
        </w:tc>
      </w:tr>
      <w:tr>
        <w:tc>
          <w:tcPr/>
          <w:p>
            <w:pPr>
              <w:pStyle w:val="Compact"/>
              <w:jc w:val="left"/>
            </w:pPr>
            <w:r>
              <w:t xml:space="preserve">006</w:t>
            </w:r>
          </w:p>
        </w:tc>
        <w:tc>
          <w:tcPr/>
          <w:p>
            <w:pPr>
              <w:pStyle w:val="Compact"/>
              <w:jc w:val="left"/>
            </w:pPr>
            <w:r>
              <w:t xml:space="preserve">Baker Industrial Gas Burner Stove, Model BK-GS-6B (6-Burner, Commercial)</w:t>
            </w:r>
          </w:p>
        </w:tc>
        <w:tc>
          <w:tcPr/>
          <w:p>
            <w:pPr>
              <w:pStyle w:val="Compact"/>
              <w:jc w:val="left"/>
            </w:pPr>
            <w:r>
              <w:t xml:space="preserve">5</w:t>
            </w:r>
          </w:p>
        </w:tc>
        <w:tc>
          <w:tcPr/>
          <w:p>
            <w:pPr>
              <w:pStyle w:val="Compact"/>
              <w:jc w:val="left"/>
            </w:pPr>
            <w:r>
              <w:t xml:space="preserve">Units</w:t>
            </w:r>
          </w:p>
        </w:tc>
        <w:tc>
          <w:tcPr/>
          <w:p>
            <w:pPr>
              <w:pStyle w:val="Compact"/>
              <w:jc w:val="left"/>
            </w:pPr>
            <w:r>
              <w:t xml:space="preserve">41,500.00</w:t>
            </w:r>
          </w:p>
        </w:tc>
        <w:tc>
          <w:tcPr/>
          <w:p>
            <w:pPr>
              <w:pStyle w:val="Compact"/>
              <w:jc w:val="left"/>
            </w:pPr>
            <w:r>
              <w:t xml:space="preserve">207,500.00</w:t>
            </w:r>
          </w:p>
        </w:tc>
      </w:tr>
      <w:tr>
        <w:tc>
          <w:tcPr/>
          <w:p>
            <w:pPr>
              <w:pStyle w:val="Compact"/>
              <w:jc w:val="left"/>
            </w:pPr>
            <w:r>
              <w:t xml:space="preserve">007</w:t>
            </w:r>
          </w:p>
        </w:tc>
        <w:tc>
          <w:tcPr/>
          <w:p>
            <w:pPr>
              <w:pStyle w:val="Compact"/>
              <w:jc w:val="left"/>
            </w:pPr>
            <w:r>
              <w:t xml:space="preserve">Baker Complete Set of Baking Tools &amp; Accessories (Packs of 50)</w:t>
            </w:r>
          </w:p>
        </w:tc>
        <w:tc>
          <w:tcPr/>
          <w:p>
            <w:pPr>
              <w:pStyle w:val="Compact"/>
              <w:jc w:val="left"/>
            </w:pPr>
            <w:r>
              <w:t xml:space="preserve">20</w:t>
            </w:r>
          </w:p>
        </w:tc>
        <w:tc>
          <w:tcPr/>
          <w:p>
            <w:pPr>
              <w:pStyle w:val="Compact"/>
              <w:jc w:val="left"/>
            </w:pPr>
            <w:r>
              <w:t xml:space="preserve">Packs</w:t>
            </w:r>
          </w:p>
        </w:tc>
        <w:tc>
          <w:tcPr/>
          <w:p>
            <w:pPr>
              <w:pStyle w:val="Compact"/>
              <w:jc w:val="left"/>
            </w:pPr>
            <w:r>
              <w:t xml:space="preserve">3,850.00</w:t>
            </w:r>
          </w:p>
        </w:tc>
        <w:tc>
          <w:tcPr/>
          <w:p>
            <w:pPr>
              <w:pStyle w:val="Compact"/>
              <w:jc w:val="left"/>
            </w:pPr>
            <w:r>
              <w:t xml:space="preserve">77,000.00</w:t>
            </w:r>
          </w:p>
        </w:tc>
      </w:tr>
      <w:tr>
        <w:tc>
          <w:tcPr/>
          <w:p>
            <w:pPr>
              <w:pStyle w:val="Compact"/>
              <w:jc w:val="left"/>
            </w:pPr>
            <w:r>
              <w:t xml:space="preserve">008</w:t>
            </w:r>
          </w:p>
        </w:tc>
        <w:tc>
          <w:tcPr/>
          <w:p>
            <w:pPr>
              <w:pStyle w:val="Compact"/>
              <w:jc w:val="left"/>
            </w:pPr>
            <w:r>
              <w:t xml:space="preserve">Baker Installation, Calibration &amp; Training Service (Per Site)</w:t>
            </w:r>
          </w:p>
        </w:tc>
        <w:tc>
          <w:tcPr/>
          <w:p>
            <w:pPr>
              <w:pStyle w:val="Compact"/>
              <w:jc w:val="left"/>
            </w:pPr>
            <w:r>
              <w:t xml:space="preserve">3</w:t>
            </w:r>
          </w:p>
        </w:tc>
        <w:tc>
          <w:tcPr/>
          <w:p>
            <w:pPr>
              <w:pStyle w:val="Compact"/>
              <w:jc w:val="left"/>
            </w:pPr>
            <w:r>
              <w:t xml:space="preserve">Sites</w:t>
            </w:r>
          </w:p>
        </w:tc>
        <w:tc>
          <w:tcPr/>
          <w:p>
            <w:pPr>
              <w:pStyle w:val="Compact"/>
              <w:jc w:val="left"/>
            </w:pPr>
            <w:r>
              <w:t xml:space="preserve">45,000.00</w:t>
            </w:r>
          </w:p>
        </w:tc>
        <w:tc>
          <w:tcPr/>
          <w:p>
            <w:pPr>
              <w:pStyle w:val="Compact"/>
              <w:jc w:val="left"/>
            </w:pPr>
            <w:r>
              <w:t xml:space="preserve">135,000.00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(PHP)</w:t>
            </w:r>
          </w:p>
        </w:tc>
      </w:tr>
      <w:tr>
        <w:tc>
          <w:tcPr/>
          <w:p>
            <w:pPr>
              <w:pStyle w:val="Compact"/>
              <w:jc w:val="left"/>
            </w:pPr>
            <w:r>
              <w:t xml:space="preserve">Subtotal</w:t>
            </w:r>
          </w:p>
        </w:tc>
        <w:tc>
          <w:tcPr/>
          <w:p>
            <w:pPr>
              <w:pStyle w:val="Compact"/>
              <w:jc w:val="left"/>
            </w:pPr>
            <w:r>
              <w:t xml:space="preserve">2,822,900.00</w:t>
            </w:r>
          </w:p>
        </w:tc>
      </w:tr>
      <w:tr>
        <w:tc>
          <w:tcPr/>
          <w:p>
            <w:pPr>
              <w:pStyle w:val="Compact"/>
              <w:jc w:val="left"/>
            </w:pPr>
            <w:r>
              <w:t xml:space="preserve">VAT (12%)</w:t>
            </w:r>
          </w:p>
        </w:tc>
        <w:tc>
          <w:tcPr/>
          <w:p>
            <w:pPr>
              <w:pStyle w:val="Compact"/>
              <w:jc w:val="left"/>
            </w:pPr>
            <w:r>
              <w:t xml:space="preserve">338,748.00</w:t>
            </w:r>
          </w:p>
        </w:tc>
      </w:tr>
      <w:tr>
        <w:tc>
          <w:tcPr/>
          <w:p>
            <w:pPr>
              <w:pStyle w:val="Compact"/>
              <w:jc w:val="left"/>
            </w:pPr>
            <w:r>
              <w:t xml:space="preserve">Delivery &amp; Installation (Philippines Manila Metro)</w:t>
            </w:r>
          </w:p>
        </w:tc>
        <w:tc>
          <w:tcPr/>
          <w:p>
            <w:pPr>
              <w:pStyle w:val="Compact"/>
              <w:jc w:val="left"/>
            </w:pPr>
            <w:r>
              <w:t xml:space="preserve">85,000.00</w:t>
            </w:r>
          </w:p>
        </w:tc>
      </w:tr>
      <w:tr>
        <w:tc>
          <w:tcPr/>
          <w:p>
            <w:pPr>
              <w:pStyle w:val="Compact"/>
              <w:jc w:val="left"/>
            </w:pPr>
            <w:r>
              <w:t xml:space="preserve">GRAND TOTAL</w:t>
            </w:r>
          </w:p>
        </w:tc>
        <w:tc>
          <w:tcPr/>
          <w:p>
            <w:pPr>
              <w:pStyle w:val="Compact"/>
              <w:jc w:val="left"/>
            </w:pPr>
            <w:r>
              <w:t xml:space="preserve">3,246,648.00</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Delivery Location:</w:t>
      </w:r>
      <w:r>
        <w:t xml:space="preserve"> </w:t>
      </w:r>
      <w:r>
        <w:t xml:space="preserve">All Baker products and equipment listed in this Purchase Order shall be delivered to the buyer's three (3) operational sites located within the Philippines Manila metropolitan area, specifically at Makati City, Taguig City, and Pasig City. Baker is responsible for all logistics, transportation, and safe handling of goods within the Philippines Manila region.</w:t>
      </w:r>
    </w:p>
    <w:p>
      <w:pPr>
        <w:numPr>
          <w:ilvl w:val="0"/>
          <w:numId w:val="1001"/>
        </w:numPr>
        <w:pStyle w:val="Compact"/>
      </w:pPr>
      <w:r>
        <w:rPr>
          <w:bCs/>
          <w:b/>
        </w:rPr>
        <w:t xml:space="preserve">Payment Terms:</w:t>
      </w:r>
      <w:r>
        <w:t xml:space="preserve"> </w:t>
      </w:r>
      <w:r>
        <w:t xml:space="preserve">Payment shall be made within thirty (30) days from the date of invoice issuance by Baker. The buyer shall remit payment via bank transfer to the designated Baker account. A 1.5% monthly interest shall apply to any overdue balance.</w:t>
      </w:r>
    </w:p>
    <w:p>
      <w:pPr>
        <w:numPr>
          <w:ilvl w:val="0"/>
          <w:numId w:val="1001"/>
        </w:numPr>
        <w:pStyle w:val="Compact"/>
      </w:pPr>
      <w:r>
        <w:rPr>
          <w:bCs/>
          <w:b/>
        </w:rPr>
        <w:t xml:space="preserve">Warranty:</w:t>
      </w:r>
      <w:r>
        <w:t xml:space="preserve"> </w:t>
      </w:r>
      <w:r>
        <w:t xml:space="preserve">Baker warrants that all equipment supplied under this Purchase Order is free from defects in materials and workmanship for a period of twenty-four (24) months from the date of installation and commissioning in the Philippines Manila sites.</w:t>
      </w:r>
    </w:p>
    <w:p>
      <w:pPr>
        <w:numPr>
          <w:ilvl w:val="0"/>
          <w:numId w:val="1001"/>
        </w:numPr>
        <w:pStyle w:val="Compact"/>
      </w:pPr>
      <w:r>
        <w:rPr>
          <w:bCs/>
          <w:b/>
        </w:rPr>
        <w:t xml:space="preserve">Acceptance:</w:t>
      </w:r>
      <w:r>
        <w:t xml:space="preserve"> </w:t>
      </w:r>
      <w:r>
        <w:t xml:space="preserve">The buyer shall have seven (7) calendar days from the date of delivery to inspect all Baker items. Any discrepancies, damages, or non-conformities must be reported in writing to Baker within this period. Failure to report shall constitute acceptance of the goods.</w:t>
      </w:r>
    </w:p>
    <w:p>
      <w:pPr>
        <w:numPr>
          <w:ilvl w:val="0"/>
          <w:numId w:val="1001"/>
        </w:numPr>
        <w:pStyle w:val="Compact"/>
      </w:pPr>
      <w:r>
        <w:rPr>
          <w:bCs/>
          <w:b/>
        </w:rPr>
        <w:t xml:space="preserve">Compliance:</w:t>
      </w:r>
      <w:r>
        <w:t xml:space="preserve"> </w:t>
      </w:r>
      <w:r>
        <w:t xml:space="preserve">Baker certifies that all products comply with the Philippine National Standards (PNS), Bureau of Standards (BPS) regulations, and all applicable local ordinances governing commercial kitchen equipment in the Philippines Manila area.</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government-imposed restrictions, or civil unrest affecting the Philippines Manila region.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Philippines. Any disputes arising from this agreement shall be resolved through arbitration in the Philippines Manila, in accordance with the rules of the Philippine Dispute Resolution Center.</w:t>
      </w:r>
    </w:p>
    <w:p>
      <w:pPr>
        <w:numPr>
          <w:ilvl w:val="0"/>
          <w:numId w:val="1001"/>
        </w:numPr>
        <w:pStyle w:val="Compact"/>
      </w:pPr>
      <w:r>
        <w:rPr>
          <w:bCs/>
          <w:b/>
        </w:rPr>
        <w:t xml:space="preserve">Validity:</w:t>
      </w:r>
      <w:r>
        <w:t xml:space="preserve"> </w:t>
      </w:r>
      <w:r>
        <w:t xml:space="preserve">This Purchase Order is valid for sixty (60) days from the date of issue. Baker must confirm acceptance in writing within ten (10) business days, failing which this document shall be considered void.</w:t>
      </w:r>
    </w:p>
    <w:bookmarkEnd w:id="23"/>
    <w:p>
      <w:pPr>
        <w:pStyle w:val="FirstParagraph"/>
      </w:pPr>
      <w:r>
        <w:rPr>
          <w:bCs/>
          <w:b/>
        </w:rPr>
        <w:t xml:space="preserve">Prepared by (Buyer):</w:t>
      </w:r>
    </w:p>
    <w:p>
      <w:pPr>
        <w:pStyle w:val="BodyText"/>
      </w:pPr>
      <w:r>
        <w:t xml:space="preserve">Engr. Ricardo S. Villanueva</w:t>
      </w:r>
      <w:r>
        <w:br/>
      </w:r>
      <w:r>
        <w:t xml:space="preserve">Procurement Director</w:t>
      </w:r>
      <w:r>
        <w:br/>
      </w:r>
      <w:r>
        <w:t xml:space="preserve">Metro Manila Hospitality Group, Inc.</w:t>
      </w:r>
      <w:r>
        <w:br/>
      </w:r>
      <w:r>
        <w:t xml:space="preserve">Date: _______________</w:t>
      </w:r>
    </w:p>
    <w:p>
      <w:pPr>
        <w:pStyle w:val="BodyText"/>
      </w:pPr>
      <w:r>
        <w:rPr>
          <w:bCs/>
          <w:b/>
        </w:rPr>
        <w:t xml:space="preserve">Accepted by (Seller / Baker):</w:t>
      </w:r>
    </w:p>
    <w:p>
      <w:pPr>
        <w:pStyle w:val="BodyText"/>
      </w:pPr>
      <w:r>
        <w:t xml:space="preserve">Ms. Angela T. Baker</w:t>
      </w:r>
      <w:r>
        <w:br/>
      </w:r>
      <w:r>
        <w:t xml:space="preserve">Sales Manager</w:t>
      </w:r>
      <w:r>
        <w:br/>
      </w:r>
      <w:r>
        <w:t xml:space="preserve">Baker Industrial Supply &amp; Equipment Co., Ltd.</w:t>
      </w:r>
      <w:r>
        <w:br/>
      </w:r>
      <w:r>
        <w:t xml:space="preserve">Date: _______________</w:t>
      </w:r>
    </w:p>
    <w:p>
      <w:pPr>
        <w:pStyle w:val="BodyText"/>
      </w:pPr>
      <w:r>
        <w:t xml:space="preserve">This Purchase Order (PO-PHL-MNL-2025-04872) is an official procurement document issued by Metro Manila Hospitality Group, Inc. for the acquisition of Baker commercial kitchen equipment and services for use in the Philippines Manila region. This document is valid only when signed and stamped by both parties. Unauthorized reproduction or alteration of this Purchase Order is strictly prohibited.</w:t>
      </w:r>
    </w:p>
    <w:p>
      <w:pPr>
        <w:pStyle w:val="BodyText"/>
      </w:pPr>
      <w:r>
        <w:t xml:space="preserve">© 2025 Metro Manila Hospitality Group, Inc. | Philippines Manila |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Philippines Manila</dc:title>
  <dc:creator/>
  <dc:language>en</dc:language>
  <cp:keywords/>
  <dcterms:created xsi:type="dcterms:W3CDTF">2026-10-10T02:13:57Z</dcterms:created>
  <dcterms:modified xsi:type="dcterms:W3CDTF">2026-10-10T02:13:57Z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