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Banking</w:t>
      </w:r>
      <w:r>
        <w:t xml:space="preserve"> </w:t>
      </w:r>
      <w:r>
        <w:t xml:space="preserve">Services</w:t>
      </w:r>
      <w:r>
        <w:t xml:space="preserve"> </w:t>
      </w:r>
      <w:r>
        <w:t xml:space="preserve">-</w:t>
      </w:r>
      <w:r>
        <w:t xml:space="preserve"> </w:t>
      </w:r>
      <w:r>
        <w:t xml:space="preserve">Algiers,</w:t>
      </w:r>
      <w:r>
        <w:t xml:space="preserve"> </w:t>
      </w:r>
      <w:r>
        <w:t xml:space="preserve">Algeria</w:t>
      </w:r>
    </w:p>
    <w:bookmarkStart w:id="20" w:name="purchase-order"/>
    <w:p>
      <w:pPr>
        <w:pStyle w:val="Heading1"/>
      </w:pPr>
      <w:r>
        <w:t xml:space="preserve">PURCHASE ORDER</w:t>
      </w:r>
    </w:p>
    <w:p>
      <w:pPr>
        <w:pStyle w:val="FirstParagraph"/>
      </w:pPr>
      <w:r>
        <w:t xml:space="preserve">Banking Services &amp; Financial Infrastructure Procurement</w:t>
      </w:r>
    </w:p>
    <w:p>
      <w:pPr>
        <w:pStyle w:val="BodyText"/>
      </w:pPr>
      <w:r>
        <w:t xml:space="preserve">Issued in Algiers, Algeria — Republic of Algeria</w:t>
      </w:r>
    </w:p>
    <w:bookmarkEnd w:id="20"/>
    <w:p>
      <w:pPr>
        <w:pStyle w:val="BodyText"/>
      </w:pPr>
      <w:r>
        <w:t xml:space="preserve">PO No.: DZ-ALG-2025-004782</w:t>
      </w:r>
      <w:r>
        <w:br/>
      </w:r>
      <w:r>
        <w:t xml:space="preserve">Date of Issue: 14 June 2025</w:t>
      </w:r>
      <w:r>
        <w:br/>
      </w:r>
      <w:r>
        <w:t xml:space="preserve">Valid Until: 14 September 2025</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Société Algérienne de Gestion Financière S.A.</w:t>
      </w:r>
    </w:p>
    <w:p>
      <w:pPr>
        <w:pStyle w:val="BodyText"/>
      </w:pPr>
      <w:r>
        <w:rPr>
          <w:bCs/>
          <w:b/>
        </w:rPr>
        <w:t xml:space="preserve">Address:</w:t>
      </w:r>
      <w:r>
        <w:t xml:space="preserve"> </w:t>
      </w:r>
      <w:r>
        <w:t xml:space="preserve">42, Boulevard Zighout Youcef, Hydra, 16000 Algiers, Algeria</w:t>
      </w:r>
    </w:p>
    <w:p>
      <w:pPr>
        <w:pStyle w:val="BodyText"/>
      </w:pPr>
      <w:r>
        <w:rPr>
          <w:bCs/>
          <w:b/>
        </w:rPr>
        <w:t xml:space="preserve">Tax ID (NIF):</w:t>
      </w:r>
      <w:r>
        <w:t xml:space="preserve"> </w:t>
      </w:r>
      <w:r>
        <w:t xml:space="preserve">0999 1234 5678 001</w:t>
      </w:r>
    </w:p>
    <w:p>
      <w:pPr>
        <w:pStyle w:val="BodyText"/>
      </w:pPr>
      <w:r>
        <w:rPr>
          <w:bCs/>
          <w:b/>
        </w:rPr>
        <w:t xml:space="preserve">RC:</w:t>
      </w:r>
      <w:r>
        <w:t xml:space="preserve"> </w:t>
      </w:r>
      <w:r>
        <w:t xml:space="preserve">16B-0012345-2019</w:t>
      </w:r>
    </w:p>
    <w:p>
      <w:pPr>
        <w:pStyle w:val="BodyText"/>
      </w:pPr>
      <w:r>
        <w:rPr>
          <w:bCs/>
          <w:b/>
        </w:rPr>
        <w:t xml:space="preserve">Contact:</w:t>
      </w:r>
      <w:r>
        <w:t xml:space="preserve"> </w:t>
      </w:r>
      <w:r>
        <w:t xml:space="preserve">Mr. Karim Benali, Procurement Director</w:t>
      </w:r>
    </w:p>
    <w:p>
      <w:pPr>
        <w:pStyle w:val="BodyText"/>
      </w:pPr>
      <w:r>
        <w:rPr>
          <w:bCs/>
          <w:b/>
        </w:rPr>
        <w:t xml:space="preserve">Email:</w:t>
      </w:r>
      <w:r>
        <w:t xml:space="preserve"> </w:t>
      </w:r>
      <w:r>
        <w:t xml:space="preserve">procurement@sagf.dz</w:t>
      </w:r>
    </w:p>
    <w:p>
      <w:pPr>
        <w:pStyle w:val="BodyText"/>
      </w:pPr>
      <w:r>
        <w:rPr>
          <w:bCs/>
          <w:b/>
        </w:rPr>
        <w:t xml:space="preserve">Phone:</w:t>
      </w:r>
      <w:r>
        <w:t xml:space="preserve"> </w:t>
      </w:r>
      <w:r>
        <w:t xml:space="preserve">+213 21 23 45 67</w:t>
      </w:r>
    </w:p>
    <w:bookmarkEnd w:id="21"/>
    <w:bookmarkStart w:id="22" w:name="seller-banker-service-provider"/>
    <w:p>
      <w:pPr>
        <w:pStyle w:val="Heading3"/>
      </w:pPr>
      <w:r>
        <w:t xml:space="preserve">Seller (Banker / Service Provider)</w:t>
      </w:r>
    </w:p>
    <w:p>
      <w:pPr>
        <w:pStyle w:val="FirstParagraph"/>
      </w:pPr>
      <w:r>
        <w:rPr>
          <w:bCs/>
          <w:b/>
        </w:rPr>
        <w:t xml:space="preserve">Institution:</w:t>
      </w:r>
      <w:r>
        <w:t xml:space="preserve"> </w:t>
      </w:r>
      <w:r>
        <w:t xml:space="preserve">Banque Nationale d'Algérie — Corporate Banking Division</w:t>
      </w:r>
    </w:p>
    <w:p>
      <w:pPr>
        <w:pStyle w:val="BodyText"/>
      </w:pPr>
      <w:r>
        <w:rPr>
          <w:bCs/>
          <w:b/>
        </w:rPr>
        <w:t xml:space="preserve">Address:</w:t>
      </w:r>
      <w:r>
        <w:t xml:space="preserve"> </w:t>
      </w:r>
      <w:r>
        <w:t xml:space="preserve">15, Rue Didouche Mourad, Centre-ville, 16000 Algiers, Algeria</w:t>
      </w:r>
    </w:p>
    <w:p>
      <w:pPr>
        <w:pStyle w:val="BodyText"/>
      </w:pPr>
      <w:r>
        <w:rPr>
          <w:bCs/>
          <w:b/>
        </w:rPr>
        <w:t xml:space="preserve">Tax ID (NIF):</w:t>
      </w:r>
      <w:r>
        <w:t xml:space="preserve"> </w:t>
      </w:r>
      <w:r>
        <w:t xml:space="preserve">0000 9876 5432 001</w:t>
      </w:r>
    </w:p>
    <w:p>
      <w:pPr>
        <w:pStyle w:val="BodyText"/>
      </w:pPr>
      <w:r>
        <w:rPr>
          <w:bCs/>
          <w:b/>
        </w:rPr>
        <w:t xml:space="preserve">RC:</w:t>
      </w:r>
      <w:r>
        <w:t xml:space="preserve"> </w:t>
      </w:r>
      <w:r>
        <w:t xml:space="preserve">16A-0000001-1962</w:t>
      </w:r>
    </w:p>
    <w:p>
      <w:pPr>
        <w:pStyle w:val="BodyText"/>
      </w:pPr>
      <w:r>
        <w:rPr>
          <w:bCs/>
          <w:b/>
        </w:rPr>
        <w:t xml:space="preserve">Authorized Banker Representative:</w:t>
      </w:r>
      <w:r>
        <w:t xml:space="preserve"> </w:t>
      </w:r>
      <w:r>
        <w:t xml:space="preserve">Mme. Fatima Zohra Haddad, Senior Account Manager</w:t>
      </w:r>
    </w:p>
    <w:p>
      <w:pPr>
        <w:pStyle w:val="BodyText"/>
      </w:pPr>
      <w:r>
        <w:rPr>
          <w:bCs/>
          <w:b/>
        </w:rPr>
        <w:t xml:space="preserve">Email:</w:t>
      </w:r>
      <w:r>
        <w:t xml:space="preserve"> </w:t>
      </w:r>
      <w:r>
        <w:t xml:space="preserve">corporate.banking@bna.dz</w:t>
      </w:r>
    </w:p>
    <w:p>
      <w:pPr>
        <w:pStyle w:val="BodyText"/>
      </w:pPr>
      <w:r>
        <w:rPr>
          <w:bCs/>
          <w:b/>
        </w:rPr>
        <w:t xml:space="preserve">Phone:</w:t>
      </w:r>
      <w:r>
        <w:t xml:space="preserve"> </w:t>
      </w:r>
      <w:r>
        <w:t xml:space="preserve">+213 21 62 89 01</w:t>
      </w:r>
    </w:p>
    <w:bookmarkEnd w:id="22"/>
    <w:bookmarkStart w:id="23" w:name="Xbe49915cd9b1ac84eedcd5b20908dba122c6f10"/>
    <w:p>
      <w:pPr>
        <w:pStyle w:val="Heading2"/>
      </w:pPr>
      <w:r>
        <w:t xml:space="preserve">Line Items — Banking Services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 Price (DZD)</w:t>
            </w:r>
          </w:p>
        </w:tc>
        <w:tc>
          <w:tcPr/>
          <w:p>
            <w:pPr>
              <w:pStyle w:val="Compact"/>
              <w:jc w:val="left"/>
            </w:pPr>
            <w:r>
              <w:t xml:space="preserve">Total (DZD)</w:t>
            </w:r>
          </w:p>
        </w:tc>
        <w:tc>
          <w:tcPr/>
          <w:p>
            <w:pPr>
              <w:pStyle w:val="Compact"/>
              <w:jc w:val="left"/>
            </w:pPr>
            <w:r>
              <w:t xml:space="preserve">Delivery / Activation</w:t>
            </w:r>
          </w:p>
        </w:tc>
      </w:tr>
      <w:tr>
        <w:tc>
          <w:tcPr/>
          <w:p>
            <w:pPr>
              <w:pStyle w:val="Compact"/>
              <w:jc w:val="left"/>
            </w:pPr>
            <w:r>
              <w:t xml:space="preserve">01</w:t>
            </w:r>
          </w:p>
        </w:tc>
        <w:tc>
          <w:tcPr/>
          <w:p>
            <w:pPr>
              <w:pStyle w:val="Compact"/>
              <w:jc w:val="left"/>
            </w:pPr>
            <w:r>
              <w:t xml:space="preserve">Corporate Current Account — Multi-currency (DZD, EUR, USD) with dedicated banker relationship manager in Algiers</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c>
          <w:tcPr/>
          <w:p>
            <w:pPr>
              <w:pStyle w:val="Compact"/>
              <w:jc w:val="left"/>
            </w:pPr>
            <w:r>
              <w:t xml:space="preserve">Within 10 business days</w:t>
            </w:r>
          </w:p>
        </w:tc>
      </w:tr>
      <w:tr>
        <w:tc>
          <w:tcPr/>
          <w:p>
            <w:pPr>
              <w:pStyle w:val="Compact"/>
              <w:jc w:val="left"/>
            </w:pPr>
            <w:r>
              <w:t xml:space="preserve">02</w:t>
            </w:r>
          </w:p>
        </w:tc>
        <w:tc>
          <w:tcPr/>
          <w:p>
            <w:pPr>
              <w:pStyle w:val="Compact"/>
              <w:jc w:val="left"/>
            </w:pPr>
            <w:r>
              <w:t xml:space="preserve">Trade Finance Package — Letters of Credit, Bank Guarantees, and Documentary Collections for import/export operations through Algiers Port</w:t>
            </w:r>
          </w:p>
        </w:tc>
        <w:tc>
          <w:tcPr/>
          <w:p>
            <w:pPr>
              <w:pStyle w:val="Compact"/>
              <w:jc w:val="left"/>
            </w:pPr>
            <w:r>
              <w:t xml:space="preserve">12</w:t>
            </w:r>
          </w:p>
        </w:tc>
        <w:tc>
          <w:tcPr/>
          <w:p>
            <w:pPr>
              <w:pStyle w:val="Compact"/>
              <w:jc w:val="left"/>
            </w:pPr>
            <w:r>
              <w:t xml:space="preserve">85,000.00</w:t>
            </w:r>
          </w:p>
        </w:tc>
        <w:tc>
          <w:tcPr/>
          <w:p>
            <w:pPr>
              <w:pStyle w:val="Compact"/>
              <w:jc w:val="left"/>
            </w:pPr>
            <w:r>
              <w:t xml:space="preserve">1,020,000.00</w:t>
            </w:r>
          </w:p>
        </w:tc>
        <w:tc>
          <w:tcPr/>
          <w:p>
            <w:pPr>
              <w:pStyle w:val="Compact"/>
              <w:jc w:val="left"/>
            </w:pPr>
            <w:r>
              <w:t xml:space="preserve">Per transaction cycle</w:t>
            </w:r>
          </w:p>
        </w:tc>
      </w:tr>
      <w:tr>
        <w:tc>
          <w:tcPr/>
          <w:p>
            <w:pPr>
              <w:pStyle w:val="Compact"/>
              <w:jc w:val="left"/>
            </w:pPr>
            <w:r>
              <w:t xml:space="preserve">03</w:t>
            </w:r>
          </w:p>
        </w:tc>
        <w:tc>
          <w:tcPr/>
          <w:p>
            <w:pPr>
              <w:pStyle w:val="Compact"/>
              <w:jc w:val="left"/>
            </w:pPr>
            <w:r>
              <w:t xml:space="preserve">Banker's Treasury Management System (TMS) — Licensed software for cash pooling, FX hedging, and automated payment processing</w:t>
            </w:r>
          </w:p>
        </w:tc>
        <w:tc>
          <w:tcPr/>
          <w:p>
            <w:pPr>
              <w:pStyle w:val="Compact"/>
              <w:jc w:val="left"/>
            </w:pPr>
            <w:r>
              <w:t xml:space="preserve">1</w:t>
            </w:r>
          </w:p>
        </w:tc>
        <w:tc>
          <w:tcPr/>
          <w:p>
            <w:pPr>
              <w:pStyle w:val="Compact"/>
              <w:jc w:val="left"/>
            </w:pPr>
            <w:r>
              <w:t xml:space="preserve">2,400,000.00</w:t>
            </w:r>
          </w:p>
        </w:tc>
        <w:tc>
          <w:tcPr/>
          <w:p>
            <w:pPr>
              <w:pStyle w:val="Compact"/>
              <w:jc w:val="left"/>
            </w:pPr>
            <w:r>
              <w:t xml:space="preserve">2,400,000.00</w:t>
            </w:r>
          </w:p>
        </w:tc>
        <w:tc>
          <w:tcPr/>
          <w:p>
            <w:pPr>
              <w:pStyle w:val="Compact"/>
              <w:jc w:val="left"/>
            </w:pPr>
            <w:r>
              <w:t xml:space="preserve">Within 30 calendar days</w:t>
            </w:r>
          </w:p>
        </w:tc>
      </w:tr>
      <w:tr>
        <w:tc>
          <w:tcPr/>
          <w:p>
            <w:pPr>
              <w:pStyle w:val="Compact"/>
              <w:jc w:val="left"/>
            </w:pPr>
            <w:r>
              <w:t xml:space="preserve">04</w:t>
            </w:r>
          </w:p>
        </w:tc>
        <w:tc>
          <w:tcPr/>
          <w:p>
            <w:pPr>
              <w:pStyle w:val="Compact"/>
              <w:jc w:val="left"/>
            </w:pPr>
            <w:r>
              <w:t xml:space="preserve">ATM &amp; Cash Management Infrastructure — 4x high-capacity ATMs with armored transport service for Algiers metropolitan branch network</w:t>
            </w:r>
          </w:p>
        </w:tc>
        <w:tc>
          <w:tcPr/>
          <w:p>
            <w:pPr>
              <w:pStyle w:val="Compact"/>
              <w:jc w:val="left"/>
            </w:pPr>
            <w:r>
              <w:t xml:space="preserve">4</w:t>
            </w:r>
          </w:p>
        </w:tc>
        <w:tc>
          <w:tcPr/>
          <w:p>
            <w:pPr>
              <w:pStyle w:val="Compact"/>
              <w:jc w:val="left"/>
            </w:pPr>
            <w:r>
              <w:t xml:space="preserve">1,850,000.00</w:t>
            </w:r>
          </w:p>
        </w:tc>
        <w:tc>
          <w:tcPr/>
          <w:p>
            <w:pPr>
              <w:pStyle w:val="Compact"/>
              <w:jc w:val="left"/>
            </w:pPr>
            <w:r>
              <w:t xml:space="preserve">7,400,000.00</w:t>
            </w:r>
          </w:p>
        </w:tc>
        <w:tc>
          <w:tcPr/>
          <w:p>
            <w:pPr>
              <w:pStyle w:val="Compact"/>
              <w:jc w:val="left"/>
            </w:pPr>
            <w:r>
              <w:t xml:space="preserve">Within 45 calendar days</w:t>
            </w:r>
          </w:p>
        </w:tc>
      </w:tr>
      <w:tr>
        <w:tc>
          <w:tcPr/>
          <w:p>
            <w:pPr>
              <w:pStyle w:val="Compact"/>
              <w:jc w:val="left"/>
            </w:pPr>
            <w:r>
              <w:t xml:space="preserve">05</w:t>
            </w:r>
          </w:p>
        </w:tc>
        <w:tc>
          <w:tcPr/>
          <w:p>
            <w:pPr>
              <w:pStyle w:val="Compact"/>
              <w:jc w:val="left"/>
            </w:pPr>
            <w:r>
              <w:t xml:space="preserve">Annual Banker Advisory &amp; Compliance Service — Regulatory reporting to Bank of Algeria, AML/KYC compliance, and quarterly financial health assessments</w:t>
            </w:r>
          </w:p>
        </w:tc>
        <w:tc>
          <w:tcPr/>
          <w:p>
            <w:pPr>
              <w:pStyle w:val="Compact"/>
              <w:jc w:val="left"/>
            </w:pPr>
            <w:r>
              <w:t xml:space="preserve">1</w:t>
            </w:r>
          </w:p>
        </w:tc>
        <w:tc>
          <w:tcPr/>
          <w:p>
            <w:pPr>
              <w:pStyle w:val="Compact"/>
              <w:jc w:val="left"/>
            </w:pPr>
            <w:r>
              <w:t xml:space="preserve">960,000.00</w:t>
            </w:r>
          </w:p>
        </w:tc>
        <w:tc>
          <w:tcPr/>
          <w:p>
            <w:pPr>
              <w:pStyle w:val="Compact"/>
              <w:jc w:val="left"/>
            </w:pPr>
            <w:r>
              <w:t xml:space="preserve">960,000.00</w:t>
            </w:r>
          </w:p>
        </w:tc>
        <w:tc>
          <w:tcPr/>
          <w:p>
            <w:pPr>
              <w:pStyle w:val="Compact"/>
              <w:jc w:val="left"/>
            </w:pPr>
            <w:r>
              <w:t xml:space="preserve">Continuous (12 months)</w:t>
            </w:r>
          </w:p>
        </w:tc>
      </w:tr>
      <w:tr>
        <w:tc>
          <w:tcPr/>
          <w:p>
            <w:pPr>
              <w:pStyle w:val="Compact"/>
              <w:jc w:val="left"/>
            </w:pPr>
            <w:r>
              <w:t xml:space="preserve">06</w:t>
            </w:r>
          </w:p>
        </w:tc>
        <w:tc>
          <w:tcPr/>
          <w:p>
            <w:pPr>
              <w:pStyle w:val="Compact"/>
              <w:jc w:val="left"/>
            </w:pPr>
            <w:r>
              <w:t xml:space="preserve">Secure Data Center Hosting — Co-location of banking servers in Algiers with 99.99% uptime SLA, redundant power, and Bank of Algeria-certified security</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c>
          <w:tcPr/>
          <w:p>
            <w:pPr>
              <w:pStyle w:val="Compact"/>
              <w:jc w:val="left"/>
            </w:pPr>
            <w:r>
              <w:t xml:space="preserve">Within 20 calendar days</w:t>
            </w:r>
          </w:p>
        </w:tc>
      </w:tr>
      <w:tr>
        <w:tc>
          <w:tcPr/>
          <w:p>
            <w:pPr>
              <w:pStyle w:val="Compact"/>
              <w:jc w:val="left"/>
            </w:pPr>
            <w:r>
              <w:t xml:space="preserve">07</w:t>
            </w:r>
          </w:p>
        </w:tc>
        <w:tc>
          <w:tcPr/>
          <w:p>
            <w:pPr>
              <w:pStyle w:val="Compact"/>
              <w:jc w:val="left"/>
            </w:pPr>
            <w:r>
              <w:t xml:space="preserve">Staff Training Program — 40-hour certified training for 25 employees on new banking systems, Algerian Central Bank regulations, and anti-fraud protocols</w:t>
            </w:r>
          </w:p>
        </w:tc>
        <w:tc>
          <w:tcPr/>
          <w:p>
            <w:pPr>
              <w:pStyle w:val="Compact"/>
              <w:jc w:val="left"/>
            </w:pPr>
            <w:r>
              <w:t xml:space="preserve">25</w:t>
            </w:r>
          </w:p>
        </w:tc>
        <w:tc>
          <w:tcPr/>
          <w:p>
            <w:pPr>
              <w:pStyle w:val="Compact"/>
              <w:jc w:val="left"/>
            </w:pPr>
            <w:r>
              <w:t xml:space="preserve">45,000.00</w:t>
            </w:r>
          </w:p>
        </w:tc>
        <w:tc>
          <w:tcPr/>
          <w:p>
            <w:pPr>
              <w:pStyle w:val="Compact"/>
              <w:jc w:val="left"/>
            </w:pPr>
            <w:r>
              <w:t xml:space="preserve">1,125,000.00</w:t>
            </w:r>
          </w:p>
        </w:tc>
        <w:tc>
          <w:tcPr/>
          <w:p>
            <w:pPr>
              <w:pStyle w:val="Compact"/>
              <w:jc w:val="left"/>
            </w:pPr>
            <w:r>
              <w:t xml:space="preserve">Within 60 calendar days</w:t>
            </w:r>
          </w:p>
        </w:tc>
      </w:tr>
      <w:tr>
        <w:tc>
          <w:tcPr>
            <w:gridSpan w:val="4"/>
          </w:tcPr>
          <w:p>
            <w:pPr>
              <w:pStyle w:val="Compact"/>
              <w:jc w:val="left"/>
            </w:pPr>
            <w:r>
              <w:t xml:space="preserve">SUBTOTAL</w:t>
            </w:r>
          </w:p>
        </w:tc>
        <w:tc>
          <w:tcPr/>
          <w:p>
            <w:pPr>
              <w:pStyle w:val="Compact"/>
              <w:jc w:val="left"/>
            </w:pPr>
            <w:r>
              <w:t xml:space="preserve">14,255,000.00</w:t>
            </w:r>
          </w:p>
        </w:tc>
        <w:tc>
          <w:tcPr/>
          <w:p>
            <w:pPr>
              <w:pStyle w:val="Compact"/>
            </w:pPr>
          </w:p>
        </w:tc>
      </w:tr>
      <w:tr>
        <w:tc>
          <w:tcPr>
            <w:gridSpan w:val="4"/>
          </w:tcPr>
          <w:p>
            <w:pPr>
              <w:pStyle w:val="Compact"/>
              <w:jc w:val="left"/>
            </w:pPr>
            <w:r>
              <w:t xml:space="preserve">VAT (19% — applicable per Algerian tax code)</w:t>
            </w:r>
          </w:p>
        </w:tc>
        <w:tc>
          <w:tcPr/>
          <w:p>
            <w:pPr>
              <w:pStyle w:val="Compact"/>
              <w:jc w:val="left"/>
            </w:pPr>
            <w:r>
              <w:t xml:space="preserve">2,708,450.00</w:t>
            </w:r>
          </w:p>
        </w:tc>
        <w:tc>
          <w:tcPr/>
          <w:p>
            <w:pPr>
              <w:pStyle w:val="Compact"/>
            </w:pPr>
          </w:p>
        </w:tc>
      </w:tr>
      <w:tr>
        <w:tc>
          <w:tcPr>
            <w:gridSpan w:val="4"/>
          </w:tcPr>
          <w:p>
            <w:pPr>
              <w:pStyle w:val="Compact"/>
              <w:jc w:val="left"/>
            </w:pPr>
            <w:r>
              <w:t xml:space="preserve">GRAND TOTAL (DZD)</w:t>
            </w:r>
          </w:p>
        </w:tc>
        <w:tc>
          <w:tcPr/>
          <w:p>
            <w:pPr>
              <w:pStyle w:val="Compact"/>
              <w:jc w:val="left"/>
            </w:pPr>
            <w:r>
              <w:t xml:space="preserve">16,963,450.00</w:t>
            </w:r>
          </w:p>
        </w:tc>
        <w:tc>
          <w:tcPr/>
          <w:p>
            <w:pPr>
              <w:pStyle w:val="Compact"/>
            </w:pPr>
          </w:p>
        </w:tc>
      </w:tr>
    </w:tbl>
    <w:bookmarkEnd w:id="23"/>
    <w:bookmarkStart w:id="24"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Algeria, including the Algerian Commercial Code, the Banking and Financial Law (Law No. 15-09 of 2015), and all applicable regulations issued by the Bank of Algeria headquartered in Algiers.</w:t>
      </w:r>
    </w:p>
    <w:p>
      <w:pPr>
        <w:numPr>
          <w:ilvl w:val="0"/>
          <w:numId w:val="1001"/>
        </w:numPr>
        <w:pStyle w:val="Compact"/>
      </w:pPr>
      <w:r>
        <w:rPr>
          <w:bCs/>
          <w:b/>
        </w:rPr>
        <w:t xml:space="preserve">Banker's Obligations:</w:t>
      </w:r>
      <w:r>
        <w:t xml:space="preserve"> </w:t>
      </w:r>
      <w:r>
        <w:t xml:space="preserve">The Seller, acting as the designated Banker, shall provide all services and deliver all equipment in strict compliance with the standards set forth by the Bank of Algeria. The Banker guarantees full regulatory compliance, data sovereignty within Algerian territory, and adherence to the Central Bank's cybersecurity directives effective as of the date of this Purchase Order.</w:t>
      </w:r>
    </w:p>
    <w:p>
      <w:pPr>
        <w:numPr>
          <w:ilvl w:val="0"/>
          <w:numId w:val="1001"/>
        </w:numPr>
        <w:pStyle w:val="Compact"/>
      </w:pPr>
      <w:r>
        <w:rPr>
          <w:bCs/>
          <w:b/>
        </w:rPr>
        <w:t xml:space="preserve">Payment Terms:</w:t>
      </w:r>
      <w:r>
        <w:t xml:space="preserve"> </w:t>
      </w:r>
      <w:r>
        <w:t xml:space="preserve">Payment shall be made in Algerian Dinars (DZD) via bank transfer to the Seller's designated account in Algiers. A 30% advance payment is due upon signature of this Purchase Order. The remaining 70% shall be paid in two equal installments: 50% upon delivery and installation of all hardware and software, and 50% upon successful completion of the 30-day acceptance testing period.</w:t>
      </w:r>
    </w:p>
    <w:p>
      <w:pPr>
        <w:numPr>
          <w:ilvl w:val="0"/>
          <w:numId w:val="1001"/>
        </w:numPr>
        <w:pStyle w:val="Compact"/>
      </w:pPr>
      <w:r>
        <w:rPr>
          <w:bCs/>
          <w:b/>
        </w:rPr>
        <w:t xml:space="preserve">Delivery and Installation:</w:t>
      </w:r>
      <w:r>
        <w:t xml:space="preserve"> </w:t>
      </w:r>
      <w:r>
        <w:t xml:space="preserve">All physical equipment (ATMs, servers, networking hardware) shall be delivered to the Buyer's premises located in Algiers, Algeria. The Banker is responsible for all logistics, customs clearance (if applicable for imported components), installation, and initial configuration within the timelines specified in the line items above.</w:t>
      </w:r>
    </w:p>
    <w:p>
      <w:pPr>
        <w:numPr>
          <w:ilvl w:val="0"/>
          <w:numId w:val="1001"/>
        </w:numPr>
        <w:pStyle w:val="Compact"/>
      </w:pPr>
      <w:r>
        <w:rPr>
          <w:bCs/>
          <w:b/>
        </w:rPr>
        <w:t xml:space="preserve">Warranty and Support:</w:t>
      </w:r>
      <w:r>
        <w:t xml:space="preserve"> </w:t>
      </w:r>
      <w:r>
        <w:t xml:space="preserve">The Banker provides a minimum 24-month warranty on all hardware and a 12-month warranty on all software licenses. Technical support shall be available 24/7 through the Banker's Algiers operations center. Response time for critical system failures shall not exceed 4 hours.</w:t>
      </w:r>
    </w:p>
    <w:p>
      <w:pPr>
        <w:numPr>
          <w:ilvl w:val="0"/>
          <w:numId w:val="1001"/>
        </w:numPr>
        <w:pStyle w:val="Compact"/>
      </w:pPr>
      <w:r>
        <w:rPr>
          <w:bCs/>
          <w:b/>
        </w:rPr>
        <w:t xml:space="preserve">Confidentiality and Data Protection:</w:t>
      </w:r>
      <w:r>
        <w:t xml:space="preserve"> </w:t>
      </w:r>
      <w:r>
        <w:t xml:space="preserve">All financial data, client information, and transaction records processed under this Purchase Order shall remain within the jurisdiction of Algeria. The Banker shall not transfer, store, or process any data outside the national territory of Algeria without prior written consent from the Buyer and approval from the Bank of Algeria.</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sanctions, or regulatory changes enacted by the Bank of Algeria or the Algerian Ministry of Finance.</w:t>
      </w:r>
    </w:p>
    <w:p>
      <w:pPr>
        <w:numPr>
          <w:ilvl w:val="0"/>
          <w:numId w:val="1001"/>
        </w:numPr>
        <w:pStyle w:val="Compact"/>
      </w:pPr>
      <w:r>
        <w:rPr>
          <w:bCs/>
          <w:b/>
        </w:rPr>
        <w:t xml:space="preserve">Dispute Resolution:</w:t>
      </w:r>
      <w:r>
        <w:t xml:space="preserve"> </w:t>
      </w:r>
      <w:r>
        <w:t xml:space="preserve">Any dispute arising from this Purchase Order shall first be subject to amicable negotiation between the parties in Algiers. Failing resolution within 30 days, the matter shall be referred to the competent commercial court of Algiers, Algeria.</w:t>
      </w:r>
    </w:p>
    <w:p>
      <w:pPr>
        <w:numPr>
          <w:ilvl w:val="0"/>
          <w:numId w:val="1001"/>
        </w:numPr>
        <w:pStyle w:val="Compact"/>
      </w:pPr>
      <w:r>
        <w:rPr>
          <w:bCs/>
          <w:b/>
        </w:rPr>
        <w:t xml:space="preserve">Amendments:</w:t>
      </w:r>
      <w:r>
        <w:t xml:space="preserve"> </w:t>
      </w:r>
      <w:r>
        <w:t xml:space="preserve">No modification to this Purchase Order shall be valid unless made in writing and signed by authorized representatives of both parties. All amendments must be filed with the relevant Algerian commercial registry.</w:t>
      </w:r>
    </w:p>
    <w:p>
      <w:pPr>
        <w:numPr>
          <w:ilvl w:val="0"/>
          <w:numId w:val="1001"/>
        </w:numPr>
        <w:pStyle w:val="Compact"/>
      </w:pPr>
      <w:r>
        <w:rPr>
          <w:bCs/>
          <w:b/>
        </w:rPr>
        <w:t xml:space="preserve">Validity:</w:t>
      </w:r>
      <w:r>
        <w:t xml:space="preserve"> </w:t>
      </w:r>
      <w:r>
        <w:t xml:space="preserve">This Purchase Order is valid for a period of 90 days from the date of issue. If not executed within this period, the Banker reserves the right to re-quote all line items based on prevailing market rates in Algiers.</w:t>
      </w:r>
    </w:p>
    <w:bookmarkEnd w:id="24"/>
    <w:bookmarkStart w:id="25" w:name="acceptance-and-authorization"/>
    <w:p>
      <w:pPr>
        <w:pStyle w:val="Heading2"/>
      </w:pPr>
      <w:r>
        <w:t xml:space="preserve">Acceptance and Authorization</w:t>
      </w:r>
    </w:p>
    <w:p>
      <w:pPr>
        <w:pStyle w:val="FirstParagraph"/>
      </w:pPr>
      <w:r>
        <w:rPr>
          <w:bCs/>
          <w:b/>
        </w:rPr>
        <w:t xml:space="preserve">For and on behalf of the Buyer:</w:t>
      </w:r>
    </w:p>
    <w:p>
      <w:pPr>
        <w:pStyle w:val="BodyText"/>
      </w:pPr>
      <w:r>
        <w:t xml:space="preserve">Société Algérienne de Gestion Financière S.A.</w:t>
      </w:r>
    </w:p>
    <w:p>
      <w:pPr>
        <w:pStyle w:val="BodyText"/>
      </w:pPr>
      <w:r>
        <w:t xml:space="preserve">Name: Karim Benali</w:t>
      </w:r>
      <w:r>
        <w:br/>
      </w:r>
      <w:r>
        <w:t xml:space="preserve">Title: Procurement Director</w:t>
      </w:r>
      <w:r>
        <w:br/>
      </w:r>
      <w:r>
        <w:t xml:space="preserve">Signature &amp; Company Seal</w:t>
      </w:r>
      <w:r>
        <w:br/>
      </w:r>
      <w:r>
        <w:t xml:space="preserve">Date: _______________</w:t>
      </w:r>
    </w:p>
    <w:p>
      <w:pPr>
        <w:pStyle w:val="BodyText"/>
      </w:pPr>
      <w:r>
        <w:rPr>
          <w:bCs/>
          <w:b/>
        </w:rPr>
        <w:t xml:space="preserve">For and on behalf of the Seller (Banker):</w:t>
      </w:r>
    </w:p>
    <w:p>
      <w:pPr>
        <w:pStyle w:val="BodyText"/>
      </w:pPr>
      <w:r>
        <w:t xml:space="preserve">Banque Nationale d'Algérie — Corporate Banking</w:t>
      </w:r>
    </w:p>
    <w:p>
      <w:pPr>
        <w:pStyle w:val="BodyText"/>
      </w:pPr>
      <w:r>
        <w:t xml:space="preserve">Name: Fatima Zohra Haddad</w:t>
      </w:r>
      <w:r>
        <w:br/>
      </w:r>
      <w:r>
        <w:t xml:space="preserve">Title: Senior Account Manager</w:t>
      </w:r>
      <w:r>
        <w:br/>
      </w:r>
      <w:r>
        <w:t xml:space="preserve">Signature &amp; Institution Seal</w:t>
      </w:r>
      <w:r>
        <w:br/>
      </w:r>
      <w:r>
        <w:t xml:space="preserve">Date: _______________</w:t>
      </w:r>
    </w:p>
    <w:p>
      <w:pPr>
        <w:pStyle w:val="BodyText"/>
      </w:pPr>
      <w:r>
        <w:t xml:space="preserve">This Purchase Order was prepared and issued in Algiers, Algeria. All references to "Banker" denote the authorized banking institution providing services under this agreement. This document is subject to the regulatory oversight of the Bank of Algeria and the Algerian Ministry of Finance. Document Ref: DZ-ALG-2025-004782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Banking Services - Algiers, Algeria</dc:title>
  <dc:creator/>
  <dc:language>en</dc:language>
  <cp:keywords/>
  <dcterms:created xsi:type="dcterms:W3CDTF">2026-10-10T06:26:26Z</dcterms:created>
  <dcterms:modified xsi:type="dcterms:W3CDTF">2026-10-10T06:26:26Z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