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6" w:name="purchase-order"/>
    <w:p>
      <w:pPr>
        <w:pStyle w:val="Heading1"/>
      </w:pPr>
      <w:r>
        <w:t xml:space="preserve">PURCHASE ORDER</w:t>
      </w:r>
    </w:p>
    <w:p>
      <w:pPr>
        <w:pStyle w:val="FirstParagraph"/>
      </w:pPr>
      <w:r>
        <w:rPr>
          <w:bCs/>
          <w:b/>
        </w:rPr>
        <w:t xml:space="preserve">Issuing Entity:</w:t>
      </w:r>
      <w:r>
        <w:br/>
      </w:r>
      <w:r>
        <w:t xml:space="preserve">Harbour Corporate Group Pty Ltd</w:t>
      </w:r>
      <w:r>
        <w:br/>
      </w:r>
      <w:r>
        <w:t xml:space="preserve">Level 12, 200 George Street</w:t>
      </w:r>
      <w:r>
        <w:br/>
      </w:r>
      <w:r>
        <w:t xml:space="preserve">Sydney, NSW 2000</w:t>
      </w:r>
      <w:r>
        <w:br/>
      </w:r>
      <w:r>
        <w:t xml:space="preserve">Australia</w:t>
      </w:r>
      <w:r>
        <w:br/>
      </w:r>
      <w:r>
        <w:t xml:space="preserve">ABN: 54 123 456 789</w:t>
      </w:r>
      <w:r>
        <w:br/>
      </w:r>
      <w:r>
        <w:t xml:space="preserve">ACN: 123 456 789</w:t>
      </w:r>
    </w:p>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Origin:</w:t>
      </w:r>
      <w:r>
        <w:t xml:space="preserve"> </w:t>
      </w:r>
      <w:r>
        <w:t xml:space="preserve">Australia</w:t>
      </w:r>
      <w:r>
        <w:br/>
      </w:r>
      <w:r>
        <w:rPr>
          <w:bCs/>
          <w:b/>
        </w:rPr>
        <w:t xml:space="preserve">Place of Performance:</w:t>
      </w:r>
      <w:r>
        <w:t xml:space="preserve"> </w:t>
      </w:r>
      <w:r>
        <w:t xml:space="preserve">Sydney, New South Wales, Australia</w:t>
      </w:r>
    </w:p>
    <w:bookmarkStart w:id="20" w:name="vendor-supplier-details-the-banker"/>
    <w:p>
      <w:pPr>
        <w:pStyle w:val="Heading2"/>
      </w:pPr>
      <w:r>
        <w:t xml:space="preserve">1. Vendor / Supplier Details (The Banker)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Meridian Corporate Banking Advisory Pty Ltd (hereinafter referred to as "the Banker")</w:t>
            </w:r>
          </w:p>
        </w:tc>
      </w:tr>
      <w:tr>
        <w:tc>
          <w:tcPr/>
          <w:p>
            <w:pPr>
              <w:pStyle w:val="Compact"/>
              <w:jc w:val="left"/>
            </w:pPr>
            <w:r>
              <w:t xml:space="preserve">Address</w:t>
            </w:r>
          </w:p>
        </w:tc>
        <w:tc>
          <w:tcPr/>
          <w:p>
            <w:pPr>
              <w:pStyle w:val="Compact"/>
              <w:jc w:val="left"/>
            </w:pPr>
            <w:r>
              <w:t xml:space="preserve">Suite 5, Level 3, 1 Macquarie Place, Sydney, NSW 2000, Australia</w:t>
            </w:r>
          </w:p>
        </w:tc>
      </w:tr>
      <w:tr>
        <w:tc>
          <w:tcPr/>
          <w:p>
            <w:pPr>
              <w:pStyle w:val="Compact"/>
              <w:jc w:val="left"/>
            </w:pPr>
            <w:r>
              <w:t xml:space="preserve">ABN</w:t>
            </w:r>
          </w:p>
        </w:tc>
        <w:tc>
          <w:tcPr/>
          <w:p>
            <w:pPr>
              <w:pStyle w:val="Compact"/>
              <w:jc w:val="left"/>
            </w:pPr>
            <w:r>
              <w:t xml:space="preserve">87 987 654 321</w:t>
            </w:r>
          </w:p>
        </w:tc>
      </w:tr>
      <w:tr>
        <w:tc>
          <w:tcPr/>
          <w:p>
            <w:pPr>
              <w:pStyle w:val="Compact"/>
              <w:jc w:val="left"/>
            </w:pPr>
            <w:r>
              <w:t xml:space="preserve">ACN</w:t>
            </w:r>
          </w:p>
        </w:tc>
        <w:tc>
          <w:tcPr/>
          <w:p>
            <w:pPr>
              <w:pStyle w:val="Compact"/>
              <w:jc w:val="left"/>
            </w:pPr>
            <w:r>
              <w:t xml:space="preserve">987 654 321</w:t>
            </w:r>
          </w:p>
        </w:tc>
      </w:tr>
      <w:tr>
        <w:tc>
          <w:tcPr/>
          <w:p>
            <w:pPr>
              <w:pStyle w:val="Compact"/>
              <w:jc w:val="left"/>
            </w:pPr>
            <w:r>
              <w:t xml:space="preserve">ASIC Registration</w:t>
            </w:r>
          </w:p>
        </w:tc>
        <w:tc>
          <w:tcPr/>
          <w:p>
            <w:pPr>
              <w:pStyle w:val="Compact"/>
              <w:jc w:val="left"/>
            </w:pPr>
            <w:r>
              <w:t xml:space="preserve">AFSL No. 345678 (Australian Financial Services Licence)</w:t>
            </w:r>
          </w:p>
        </w:tc>
      </w:tr>
      <w:tr>
        <w:tc>
          <w:tcPr/>
          <w:p>
            <w:pPr>
              <w:pStyle w:val="Compact"/>
              <w:jc w:val="left"/>
            </w:pPr>
            <w:r>
              <w:t xml:space="preserve">Contact Person</w:t>
            </w:r>
          </w:p>
        </w:tc>
        <w:tc>
          <w:tcPr/>
          <w:p>
            <w:pPr>
              <w:pStyle w:val="Compact"/>
              <w:jc w:val="left"/>
            </w:pPr>
            <w:r>
              <w:t xml:space="preserve">Mr. James A. Whitfield, Senior Corporate Banker</w:t>
            </w:r>
          </w:p>
        </w:tc>
      </w:tr>
      <w:tr>
        <w:tc>
          <w:tcPr/>
          <w:p>
            <w:pPr>
              <w:pStyle w:val="Compact"/>
              <w:jc w:val="left"/>
            </w:pPr>
            <w:r>
              <w:t xml:space="preserve">Email</w:t>
            </w:r>
          </w:p>
        </w:tc>
        <w:tc>
          <w:tcPr/>
          <w:p>
            <w:pPr>
              <w:pStyle w:val="Compact"/>
              <w:jc w:val="left"/>
            </w:pPr>
            <w:r>
              <w:t xml:space="preserve">j.whitfield@meridianbanking.com.au</w:t>
            </w:r>
          </w:p>
        </w:tc>
      </w:tr>
      <w:tr>
        <w:tc>
          <w:tcPr/>
          <w:p>
            <w:pPr>
              <w:pStyle w:val="Compact"/>
              <w:jc w:val="left"/>
            </w:pPr>
            <w:r>
              <w:t xml:space="preserve">Telephone</w:t>
            </w:r>
          </w:p>
        </w:tc>
        <w:tc>
          <w:tcPr/>
          <w:p>
            <w:pPr>
              <w:pStyle w:val="Compact"/>
              <w:jc w:val="left"/>
            </w:pPr>
            <w:r>
              <w:t xml:space="preserve">+61 2 9200 4567</w:t>
            </w:r>
          </w:p>
        </w:tc>
      </w:tr>
      <w:tr>
        <w:tc>
          <w:tcPr/>
          <w:p>
            <w:pPr>
              <w:pStyle w:val="Compact"/>
              <w:jc w:val="left"/>
            </w:pPr>
            <w:r>
              <w:t xml:space="preserve">GST Registration</w:t>
            </w:r>
          </w:p>
        </w:tc>
        <w:tc>
          <w:tcPr/>
          <w:p>
            <w:pPr>
              <w:pStyle w:val="Compact"/>
              <w:jc w:val="left"/>
            </w:pPr>
            <w:r>
              <w:t xml:space="preserve">Registered for Goods and Services Tax (GST) in Australia</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Harbour Corporate Group Pty Ltd (the "Purchaser") to Meridian Corporate Banking Advisory Pty Ltd (the "Banker") for the engagement of professional corporate banking services to be performed in Sydney, New South Wales, Australia. The Banker shall provide comprehensive financial advisory, treasury management, and corporate banking facilitation services as detailed in the line items below. All services shall be rendered in accordance with the Banking Act 1959 (Cth), the Corporations Act 2001 (Cth), and all applicable regulations of the Australian Prudential Regulation Authority (APRA) and the Australian Securities and Investments Commission (ASIC).</w:t>
      </w:r>
    </w:p>
    <w:bookmarkEnd w:id="21"/>
    <w:bookmarkStart w:id="22" w:name="line-items-scope-of-banker-services"/>
    <w:p>
      <w:pPr>
        <w:pStyle w:val="Heading2"/>
      </w:pPr>
      <w:r>
        <w:t xml:space="preserve">3. Line Items – Scope of Banker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Corporate Banker Engagement – Full-Service Treasury Management and Cash Flow Advisory for a period of twelve (12) months, to be conducted at the Purchaser's offices in Sydney, Australia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Banker Facilitation – Negotiation and structuring of a syndicated term loan facility of up to AUD 15,000,000 with one or more Australian financial institutions, including preparation of term sheets and facility agreements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Banker Advisory – Foreign Exchange Risk Management and Hedging Strategy development for the Purchaser's international trade operations, including quarterly review sessions in Sydney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Banker Compliance – Annual AML/CTF (Anti-Money Laundering / Counter-Terrorism Financing) compliance audit and reporting in accordance with the Anti-Money Laundering and Counter-Terrorism Financing Act 2006 (Cth)</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Banker Consultation – Dedicated on-site presence of a Senior Banker at the Purchaser's Sydney office for a minimum of two (2) days per month for operational banking support and stakeholder liaison</w:t>
            </w:r>
          </w:p>
        </w:tc>
        <w:tc>
          <w:tcPr/>
          <w:p>
            <w:pPr>
              <w:pStyle w:val="Compact"/>
              <w:jc w:val="left"/>
            </w:pPr>
            <w:r>
              <w:t xml:space="preserve">Day</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06</w:t>
            </w:r>
          </w:p>
        </w:tc>
        <w:tc>
          <w:tcPr/>
          <w:p>
            <w:pPr>
              <w:pStyle w:val="Compact"/>
              <w:jc w:val="left"/>
            </w:pPr>
            <w:r>
              <w:t xml:space="preserve">Banker Reporting – Monthly treasury and banking performance reports, including liquidity analysis, interest rate exposure, and credit facility utilisation, delivered electronically to the Purchaser's CFO in Sydney</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(AUD)</w:t>
            </w:r>
          </w:p>
        </w:tc>
      </w:tr>
      <w:tr>
        <w:tc>
          <w:tcPr/>
          <w:p>
            <w:pPr>
              <w:pStyle w:val="Compact"/>
              <w:jc w:val="left"/>
            </w:pPr>
            <w:r>
              <w:t xml:space="preserve">Subtotal (Items 01–06)</w:t>
            </w:r>
          </w:p>
        </w:tc>
        <w:tc>
          <w:tcPr/>
          <w:p>
            <w:pPr>
              <w:pStyle w:val="Compact"/>
              <w:jc w:val="left"/>
            </w:pPr>
            <w:r>
              <w:t xml:space="preserve">255,100.00</w:t>
            </w:r>
          </w:p>
        </w:tc>
      </w:tr>
      <w:tr>
        <w:tc>
          <w:tcPr/>
          <w:p>
            <w:pPr>
              <w:pStyle w:val="Compact"/>
              <w:jc w:val="left"/>
            </w:pPr>
            <w:r>
              <w:t xml:space="preserve">GST (10% – Goods and Services Tax, Australia)</w:t>
            </w:r>
          </w:p>
        </w:tc>
        <w:tc>
          <w:tcPr/>
          <w:p>
            <w:pPr>
              <w:pStyle w:val="Compact"/>
              <w:jc w:val="left"/>
            </w:pPr>
            <w:r>
              <w:t xml:space="preserve">25,510.00</w:t>
            </w:r>
          </w:p>
        </w:tc>
      </w:tr>
      <w:tr>
        <w:tc>
          <w:tcPr/>
          <w:p>
            <w:pPr>
              <w:pStyle w:val="Compact"/>
              <w:jc w:val="left"/>
            </w:pPr>
            <w:r>
              <w:t xml:space="preserve">Total Purchase Order Value (Incl. GST)</w:t>
            </w:r>
          </w:p>
        </w:tc>
        <w:tc>
          <w:tcPr/>
          <w:p>
            <w:pPr>
              <w:pStyle w:val="Compact"/>
              <w:jc w:val="left"/>
            </w:pPr>
            <w:r>
              <w:t xml:space="preserve">280,610.00</w:t>
            </w:r>
          </w:p>
        </w:tc>
      </w:tr>
    </w:tbl>
    <w:p>
      <w:pPr>
        <w:pStyle w:val="BodyText"/>
      </w:pPr>
      <w:r>
        <w:t xml:space="preserve">All amounts are quoted in Australian Dollars (AUD). GST is applicable as the Banker is registered for GST in Australia and the services are consumed in Sydney, New South Wales.</w:t>
      </w:r>
    </w:p>
    <w:bookmarkEnd w:id="23"/>
    <w:bookmarkStart w:id="24" w:name="terms-and-conditions"/>
    <w:p>
      <w:pPr>
        <w:pStyle w:val="Heading2"/>
      </w:pPr>
      <w:r>
        <w:t xml:space="preserve">5.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New South Wales and the Commonwealth of Australia. Any disputes arising from this Purchase Order shall be subject to the exclusive jurisdiction of the courts of Sydney, Australia.</w:t>
      </w:r>
    </w:p>
    <w:p>
      <w:pPr>
        <w:numPr>
          <w:ilvl w:val="0"/>
          <w:numId w:val="1001"/>
        </w:numPr>
        <w:pStyle w:val="Compact"/>
      </w:pPr>
      <w:r>
        <w:rPr>
          <w:bCs/>
          <w:b/>
        </w:rPr>
        <w:t xml:space="preserve">Payment Terms:</w:t>
      </w:r>
      <w:r>
        <w:t xml:space="preserve"> </w:t>
      </w:r>
      <w:r>
        <w:t xml:space="preserve">The Purchaser shall pay the Banker within thirty (30) days of receipt of a valid tax invoice issued in accordance with the A New Tax System (Goods and Services Tax) Act 1999 (Cth). Payment shall be made by electronic funds transfer (EFT) to the Banker's nominated bank account in Australia.</w:t>
      </w:r>
    </w:p>
    <w:p>
      <w:pPr>
        <w:numPr>
          <w:ilvl w:val="0"/>
          <w:numId w:val="1001"/>
        </w:numPr>
        <w:pStyle w:val="Compact"/>
      </w:pPr>
      <w:r>
        <w:rPr>
          <w:bCs/>
          <w:b/>
        </w:rPr>
        <w:t xml:space="preserve">Commencement and Duration:</w:t>
      </w:r>
      <w:r>
        <w:t xml:space="preserve"> </w:t>
      </w:r>
      <w:r>
        <w:t xml:space="preserve">The Banker's engagement shall commence on 1 July 2025 and shall continue for a period of twelve (12) months unless terminated earlier in accordance with Clause 6. All services shall be performed primarily in Sydney, Australia.</w:t>
      </w:r>
    </w:p>
    <w:p>
      <w:pPr>
        <w:numPr>
          <w:ilvl w:val="0"/>
          <w:numId w:val="1001"/>
        </w:numPr>
        <w:pStyle w:val="Compact"/>
      </w:pPr>
      <w:r>
        <w:rPr>
          <w:bCs/>
          <w:b/>
        </w:rPr>
        <w:t xml:space="preserve">Confidentiality:</w:t>
      </w:r>
      <w:r>
        <w:t xml:space="preserve"> </w:t>
      </w:r>
      <w:r>
        <w:t xml:space="preserve">The Banker shall treat all financial information, trade secrets, and proprietary data of the Purchaser as strictly confidential. This obligation shall survive the termination of this Purchase Order for a period of five (5) years. The Banker shall comply with the Privacy Act 1988 (Cth) and the Australian Privacy Principles.</w:t>
      </w:r>
    </w:p>
    <w:p>
      <w:pPr>
        <w:numPr>
          <w:ilvl w:val="0"/>
          <w:numId w:val="1001"/>
        </w:numPr>
        <w:pStyle w:val="Compact"/>
      </w:pPr>
      <w:r>
        <w:rPr>
          <w:bCs/>
          <w:b/>
        </w:rPr>
        <w:t xml:space="preserve">Regulatory Compliance:</w:t>
      </w:r>
      <w:r>
        <w:t xml:space="preserve"> </w:t>
      </w:r>
      <w:r>
        <w:t xml:space="preserve">The Banker warrants that it holds a valid Australian Financial Services Licence (AFSL) and that all services rendered under this Purchase Order shall comply with the Banking Act 1959 (Cth), the Corporations Act 2001 (Cth), APRA Prudential Standards, and all applicable ASIC regulations. The Banker shall maintain professional indemnity insurance of no less than AUD 10,000,000 per claim.</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the non-breaching party may terminate immediately upon written notice. Termination shall not affect any accrued rights or obligations.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Sydney or Australia, government-imposed restrictions, or systemic banking failures, provided that the affected party gives prompt written notice.</w:t>
      </w:r>
    </w:p>
    <w:p>
      <w:pPr>
        <w:numPr>
          <w:ilvl w:val="0"/>
          <w:numId w:val="1001"/>
        </w:numPr>
        <w:pStyle w:val="Compact"/>
      </w:pPr>
      <w:r>
        <w:rPr>
          <w:bCs/>
          <w:b/>
        </w:rPr>
        <w:t xml:space="preserve">Intellectual Property:</w:t>
      </w:r>
      <w:r>
        <w:t xml:space="preserve"> </w:t>
      </w:r>
      <w:r>
        <w:t xml:space="preserve">All reports, strategies, and deliverables produced by the Banker specifically for the Purchaser under this Purchase Order shall become the property of the Purchaser upon full payment. The Banker retains ownership of its pre-existing methodologies and templates.</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referred to senior management of both parties for resolution within thirty (30) days. If unresolved, the dispute shall be referred to mediation in Sydney, Australia, in accordance with the rules of the Australian Dispute Resolution Centre. Failing mediation, the dispute shall be referred to arbitration under the Arbitration Act 2010 (NSW).</w:t>
      </w:r>
    </w:p>
    <w:p>
      <w:pPr>
        <w:numPr>
          <w:ilvl w:val="0"/>
          <w:numId w:val="1001"/>
        </w:numPr>
        <w:pStyle w:val="Compact"/>
      </w:pPr>
      <w:r>
        <w:rPr>
          <w:bCs/>
          <w:b/>
        </w:rPr>
        <w:t xml:space="preserve">Entire Agreement:</w:t>
      </w:r>
      <w:r>
        <w:t xml:space="preserve"> </w:t>
      </w:r>
      <w:r>
        <w:t xml:space="preserve">This Purchase Order, together with any attached schedules and the Banker's standard terms of engagement, constitutes the entire agreement between the parties with respect to the subject matter hereof and supersedes all prior negotiations, representations, and agreements.</w:t>
      </w:r>
    </w:p>
    <w:bookmarkEnd w:id="24"/>
    <w:bookmarkStart w:id="25" w:name="authorisation-and-acceptance"/>
    <w:p>
      <w:pPr>
        <w:pStyle w:val="Heading2"/>
      </w:pPr>
      <w:r>
        <w:t xml:space="preserve">6. Authorisation and Acceptance</w:t>
      </w:r>
    </w:p>
    <w:p>
      <w:pPr>
        <w:pStyle w:val="FirstParagraph"/>
      </w:pPr>
      <w:r>
        <w:t xml:space="preserve">This Purchase Order is issued and authorised by the undersigned on behalf of Harbour Corporate Group Pty Ltd. The Banker's acceptance of this Purchase Order shall be evidenced by the return of a signed copy to the Purchaser within ten (10) business days of the date of issue. Failure to return a signed copy within the stipulated period shall be deemed a rejection of this Purchase Order.</w:t>
      </w:r>
    </w:p>
    <w:p>
      <w:pPr>
        <w:pStyle w:val="BodyText"/>
      </w:pPr>
      <w:r>
        <w:rPr>
          <w:bCs/>
          <w:b/>
        </w:rPr>
        <w:t xml:space="preserve">For and on behalf of the Purchaser:</w:t>
      </w:r>
    </w:p>
    <w:p>
      <w:pPr>
        <w:pStyle w:val="BodyText"/>
      </w:pPr>
      <w:r>
        <w:t xml:space="preserve">Harbour Corporate Group Pty Ltd</w:t>
      </w:r>
    </w:p>
    <w:p>
      <w:pPr>
        <w:pStyle w:val="BodyText"/>
      </w:pPr>
      <w:r>
        <w:t xml:space="preserve">Authorised Signatory – Name &amp; Title</w:t>
      </w:r>
    </w:p>
    <w:p>
      <w:pPr>
        <w:pStyle w:val="BodyText"/>
      </w:pPr>
      <w:r>
        <w:t xml:space="preserve">Date: ____________________</w:t>
      </w:r>
    </w:p>
    <w:p>
      <w:pPr>
        <w:pStyle w:val="BodyText"/>
      </w:pPr>
      <w:r>
        <w:rPr>
          <w:bCs/>
          <w:b/>
        </w:rPr>
        <w:t xml:space="preserve">For and on behalf of the Banker (Vendor):</w:t>
      </w:r>
    </w:p>
    <w:p>
      <w:pPr>
        <w:pStyle w:val="BodyText"/>
      </w:pPr>
      <w:r>
        <w:t xml:space="preserve">Meridian Corporate Banking Advisory Pty Ltd</w:t>
      </w:r>
    </w:p>
    <w:p>
      <w:pPr>
        <w:pStyle w:val="BodyText"/>
      </w:pPr>
      <w:r>
        <w:t xml:space="preserve">Authorised Signatory – Name &amp; Title</w:t>
      </w:r>
    </w:p>
    <w:p>
      <w:pPr>
        <w:pStyle w:val="BodyText"/>
      </w:pPr>
      <w:r>
        <w:t xml:space="preserve">Date: ____________________</w:t>
      </w:r>
    </w:p>
    <w:p>
      <w:pPr>
        <w:pStyle w:val="BodyText"/>
      </w:pPr>
      <w:r>
        <w:t xml:space="preserve">This Purchase Order is issued in Australia, Sydney, New South Wales. All references to "Australia" and "Sydney" in this document pertain to the jurisdiction and place of performance. This document is valid only when signed by both parties. PO-2025-0472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Australia Sydney</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file>