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purchase-order"/>
    <w:p>
      <w:pPr>
        <w:pStyle w:val="Heading1"/>
      </w:pPr>
      <w:r>
        <w:t xml:space="preserve">PURCHASE ORDER</w:t>
      </w:r>
    </w:p>
    <w:p>
      <w:pPr>
        <w:pStyle w:val="FirstParagraph"/>
      </w:pPr>
      <w:r>
        <w:t xml:space="preserve">Banking Services &amp; Financial Infrastructure Procurement</w:t>
      </w:r>
    </w:p>
    <w:p>
      <w:pPr>
        <w:pStyle w:val="BodyText"/>
      </w:pPr>
      <w:r>
        <w:t xml:space="preserve">Brussels, Belgium — Official Procurement Document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PO-BE-BRU-2025-04871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Purchasing Entity:</w:t>
            </w:r>
          </w:p>
        </w:tc>
        <w:tc>
          <w:tcPr/>
          <w:p>
            <w:pPr>
              <w:pStyle w:val="Compact"/>
              <w:jc w:val="left"/>
            </w:pPr>
            <w:r>
              <w:t xml:space="preserve">Brussels Metropolitan Financial Services Consortium (BMFSC)</w:t>
            </w:r>
          </w:p>
        </w:tc>
      </w:tr>
      <w:tr>
        <w:tc>
          <w:tcPr/>
          <w:p>
            <w:pPr>
              <w:pStyle w:val="Compact"/>
              <w:jc w:val="left"/>
            </w:pPr>
            <w:r>
              <w:t xml:space="preserve">Registered Address:</w:t>
            </w:r>
          </w:p>
        </w:tc>
        <w:tc>
          <w:tcPr/>
          <w:p>
            <w:pPr>
              <w:pStyle w:val="Compact"/>
              <w:jc w:val="left"/>
            </w:pPr>
            <w:r>
              <w:t xml:space="preserve">Rue de la Loi / Wetstraat 162, 1000 Brussels, Belgium</w:t>
            </w:r>
          </w:p>
        </w:tc>
      </w:tr>
      <w:tr>
        <w:tc>
          <w:tcPr/>
          <w:p>
            <w:pPr>
              <w:pStyle w:val="Compact"/>
              <w:jc w:val="left"/>
            </w:pPr>
            <w:r>
              <w:t xml:space="preserve">VAT Number (BE):</w:t>
            </w:r>
          </w:p>
        </w:tc>
        <w:tc>
          <w:tcPr/>
          <w:p>
            <w:pPr>
              <w:pStyle w:val="Compact"/>
              <w:jc w:val="left"/>
            </w:pPr>
            <w:r>
              <w:t xml:space="preserve">BE 0765.432.109</w:t>
            </w:r>
          </w:p>
        </w:tc>
      </w:tr>
      <w:tr>
        <w:tc>
          <w:tcPr/>
          <w:p>
            <w:pPr>
              <w:pStyle w:val="Compact"/>
              <w:jc w:val="left"/>
            </w:pPr>
            <w:r>
              <w:t xml:space="preserve">Supplier / Banker:</w:t>
            </w:r>
          </w:p>
        </w:tc>
        <w:tc>
          <w:tcPr/>
          <w:p>
            <w:pPr>
              <w:pStyle w:val="Compact"/>
              <w:jc w:val="left"/>
            </w:pPr>
            <w:r>
              <w:t xml:space="preserve">De Bruxelles Bankiers &amp; Partners S.A. (DBBP)</w:t>
            </w:r>
          </w:p>
        </w:tc>
      </w:tr>
      <w:tr>
        <w:tc>
          <w:tcPr/>
          <w:p>
            <w:pPr>
              <w:pStyle w:val="Compact"/>
              <w:jc w:val="left"/>
            </w:pPr>
            <w:r>
              <w:t xml:space="preserve">Supplier Address:</w:t>
            </w:r>
          </w:p>
        </w:tc>
        <w:tc>
          <w:tcPr/>
          <w:p>
            <w:pPr>
              <w:pStyle w:val="Compact"/>
              <w:jc w:val="left"/>
            </w:pPr>
            <w:r>
              <w:t xml:space="preserve">Avenue Louise / Louisealaan 245, 1050 Brussels, Belgium</w:t>
            </w:r>
          </w:p>
        </w:tc>
      </w:tr>
      <w:tr>
        <w:tc>
          <w:tcPr/>
          <w:p>
            <w:pPr>
              <w:pStyle w:val="Compact"/>
              <w:jc w:val="left"/>
            </w:pPr>
            <w:r>
              <w:t xml:space="preserve">Supplier VAT Number (BE):</w:t>
            </w:r>
          </w:p>
        </w:tc>
        <w:tc>
          <w:tcPr/>
          <w:p>
            <w:pPr>
              <w:pStyle w:val="Compact"/>
              <w:jc w:val="left"/>
            </w:pPr>
            <w:r>
              <w:t xml:space="preserve">BE 0812.567.432</w:t>
            </w:r>
          </w:p>
        </w:tc>
      </w:tr>
      <w:tr>
        <w:tc>
          <w:tcPr/>
          <w:p>
            <w:pPr>
              <w:pStyle w:val="Compact"/>
              <w:jc w:val="left"/>
            </w:pPr>
            <w:r>
              <w:t xml:space="preserve">Banker Contact Person:</w:t>
            </w:r>
          </w:p>
        </w:tc>
        <w:tc>
          <w:tcPr/>
          <w:p>
            <w:pPr>
              <w:pStyle w:val="Compact"/>
              <w:jc w:val="left"/>
            </w:pPr>
            <w:r>
              <w:t xml:space="preserve">Mr. Hendrik Van den Berghe, Senior Relationship Manager</w:t>
            </w:r>
          </w:p>
        </w:tc>
      </w:tr>
      <w:tr>
        <w:tc>
          <w:tcPr/>
          <w:p>
            <w:pPr>
              <w:pStyle w:val="Compact"/>
              <w:jc w:val="left"/>
            </w:pPr>
            <w:r>
              <w:t xml:space="preserve">Contact Email:</w:t>
            </w:r>
          </w:p>
        </w:tc>
        <w:tc>
          <w:tcPr/>
          <w:p>
            <w:pPr>
              <w:pStyle w:val="Compact"/>
              <w:jc w:val="left"/>
            </w:pPr>
            <w:r>
              <w:t xml:space="preserve">h.vandenbergh@dbbp.be</w:t>
            </w:r>
          </w:p>
        </w:tc>
      </w:tr>
      <w:tr>
        <w:tc>
          <w:tcPr/>
          <w:p>
            <w:pPr>
              <w:pStyle w:val="Compact"/>
              <w:jc w:val="left"/>
            </w:pPr>
            <w:r>
              <w:t xml:space="preserve">Contact Telephone:</w:t>
            </w:r>
          </w:p>
        </w:tc>
        <w:tc>
          <w:tcPr/>
          <w:p>
            <w:pPr>
              <w:pStyle w:val="Compact"/>
              <w:jc w:val="left"/>
            </w:pPr>
            <w:r>
              <w:t xml:space="preserve">+32 2 640 88 21</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Jurisdiction:</w:t>
            </w:r>
          </w:p>
        </w:tc>
        <w:tc>
          <w:tcPr/>
          <w:p>
            <w:pPr>
              <w:pStyle w:val="Compact"/>
              <w:jc w:val="left"/>
            </w:pPr>
            <w:r>
              <w:t xml:space="preserve">Kingdom of Belgium — Region of Brussels-Capital (Région de Bruxelles-Capitale)</w:t>
            </w:r>
          </w:p>
        </w:tc>
      </w:tr>
    </w:tbl>
    <w:bookmarkStart w:id="21" w:name="description-of-procurement"/>
    <w:p>
      <w:pPr>
        <w:pStyle w:val="Heading2"/>
      </w:pPr>
      <w:r>
        <w:t xml:space="preserve">1. Description of Procurement</w:t>
      </w:r>
    </w:p>
    <w:p>
      <w:pPr>
        <w:pStyle w:val="FirstParagraph"/>
      </w:pPr>
      <w:r>
        <w:t xml:space="preserve">This Purchase Order is issued by the Brussels Metropolitan Financial Services Consortium (hereinafter referred to as the "Purchaser") to De Bruxelles Bankiers &amp; Partners S.A. (hereinafter referred to as the "Banker" or "Supplier") for the provision of comprehensive banking services, financial infrastructure, and advisory engagements to be executed within the Brussels-Capital Region of Belgium. The Banker shall act as the primary financial intermediary and service provider for all transactions outlined herein. This document constitutes a binding commercial agreement under the laws of Belgium, specifically in accordance with the Belgian Code of Economic Law (Code de droit économique) and the regulations of the National Bank of Belgium (Nationale Bank van België / Banque Nationale de Belgique).</w:t>
      </w:r>
    </w:p>
    <w:bookmarkEnd w:id="21"/>
    <w:bookmarkStart w:id="22" w:name="items-and-services-ordered"/>
    <w:p>
      <w:pPr>
        <w:pStyle w:val="Heading2"/>
      </w:pPr>
      <w:r>
        <w:t xml:space="preserve">2. 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Corporate Banking Account Management — Multi-currency accounts (EUR, USD, GBP) for the Purchaser's Brussels headquarters and satellite offices in the European Quarter</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Dedicated Banker Advisory Services — On-site financial advisory by a senior banker at the Purchaser's Brussels office, 4 hours per week</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850.00</w:t>
            </w:r>
          </w:p>
        </w:tc>
        <w:tc>
          <w:tcPr/>
          <w:p>
            <w:pPr>
              <w:pStyle w:val="Compact"/>
              <w:jc w:val="left"/>
            </w:pPr>
            <w:r>
              <w:t xml:space="preserve">44,200.00</w:t>
            </w:r>
          </w:p>
        </w:tc>
      </w:tr>
      <w:tr>
        <w:tc>
          <w:tcPr/>
          <w:p>
            <w:pPr>
              <w:pStyle w:val="Compact"/>
              <w:jc w:val="left"/>
            </w:pPr>
            <w:r>
              <w:t xml:space="preserve">03</w:t>
            </w:r>
          </w:p>
        </w:tc>
        <w:tc>
          <w:tcPr/>
          <w:p>
            <w:pPr>
              <w:pStyle w:val="Compact"/>
              <w:jc w:val="left"/>
            </w:pPr>
            <w:r>
              <w:t xml:space="preserve">Payment Processing Infrastructure — SEPA Instant Credit Transfer and SWIFT messaging services for inter-bank transactions within Belgium and the Eurozone</w:t>
            </w:r>
          </w:p>
        </w:tc>
        <w:tc>
          <w:tcPr/>
          <w:p>
            <w:pPr>
              <w:pStyle w:val="Compact"/>
              <w:jc w:val="left"/>
            </w:pPr>
            <w:r>
              <w:t xml:space="preserve">1</w:t>
            </w:r>
          </w:p>
        </w:tc>
        <w:tc>
          <w:tcPr/>
          <w:p>
            <w:pPr>
              <w:pStyle w:val="Compact"/>
              <w:jc w:val="left"/>
            </w:pPr>
            <w:r>
              <w:t xml:space="preserve">Annual Subscription</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Treasury Management &amp; Cash Pooling Services — Intra-group liquidity management for the Purchaser's Belgian and EU subsidiaries</w:t>
            </w:r>
          </w:p>
        </w:tc>
        <w:tc>
          <w:tcPr/>
          <w:p>
            <w:pPr>
              <w:pStyle w:val="Compact"/>
              <w:jc w:val="left"/>
            </w:pPr>
            <w:r>
              <w:t xml:space="preserve">1</w:t>
            </w:r>
          </w:p>
        </w:tc>
        <w:tc>
          <w:tcPr/>
          <w:p>
            <w:pPr>
              <w:pStyle w:val="Compact"/>
              <w:jc w:val="left"/>
            </w:pPr>
            <w:r>
              <w:t xml:space="preserve">Annual Contract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Trade Finance &amp; Letter of Credit Issuance — Import/export credit facilities for the Purchaser's cross-border operations originating from Brussels</w:t>
            </w:r>
          </w:p>
        </w:tc>
        <w:tc>
          <w:tcPr/>
          <w:p>
            <w:pPr>
              <w:pStyle w:val="Compact"/>
              <w:jc w:val="left"/>
            </w:pPr>
            <w:r>
              <w:t xml:space="preserve">15</w:t>
            </w:r>
          </w:p>
        </w:tc>
        <w:tc>
          <w:tcPr/>
          <w:p>
            <w:pPr>
              <w:pStyle w:val="Compact"/>
              <w:jc w:val="left"/>
            </w:pPr>
            <w:r>
              <w:t xml:space="preserve">Transactions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Compliance &amp; Anti-Money Laundering (AML) Reporting — Regulatory compliance services aligned with Belgian Financial Services and Markets Authority (FSMA) requirements</w:t>
            </w:r>
          </w:p>
        </w:tc>
        <w:tc>
          <w:tcPr/>
          <w:p>
            <w:pPr>
              <w:pStyle w:val="Compact"/>
              <w:jc w:val="left"/>
            </w:pPr>
            <w:r>
              <w:t xml:space="preserve">1</w:t>
            </w:r>
          </w:p>
        </w:tc>
        <w:tc>
          <w:tcPr/>
          <w:p>
            <w:pPr>
              <w:pStyle w:val="Compact"/>
              <w:jc w:val="left"/>
            </w:pPr>
            <w:r>
              <w:t xml:space="preserve">Annual Engagement</w:t>
            </w:r>
          </w:p>
        </w:tc>
        <w:tc>
          <w:tcPr/>
          <w:p>
            <w:pPr>
              <w:pStyle w:val="Compact"/>
              <w:jc w:val="left"/>
            </w:pPr>
            <w:r>
              <w:t xml:space="preserve">15,400.00</w:t>
            </w:r>
          </w:p>
        </w:tc>
        <w:tc>
          <w:tcPr/>
          <w:p>
            <w:pPr>
              <w:pStyle w:val="Compact"/>
              <w:jc w:val="left"/>
            </w:pPr>
            <w:r>
              <w:t xml:space="preserve">15,400.00</w:t>
            </w:r>
          </w:p>
        </w:tc>
      </w:tr>
      <w:tr>
        <w:tc>
          <w:tcPr/>
          <w:p>
            <w:pPr>
              <w:pStyle w:val="Compact"/>
              <w:jc w:val="left"/>
            </w:pPr>
            <w:r>
              <w:t xml:space="preserve">07</w:t>
            </w:r>
          </w:p>
        </w:tc>
        <w:tc>
          <w:tcPr/>
          <w:p>
            <w:pPr>
              <w:pStyle w:val="Compact"/>
              <w:jc w:val="left"/>
            </w:pPr>
            <w:r>
              <w:t xml:space="preserve">Secure Digital Banking Platform — Licensed access to the Banker's proprietary online banking and reporting portal (10 user seats)</w:t>
            </w:r>
          </w:p>
        </w:tc>
        <w:tc>
          <w:tcPr/>
          <w:p>
            <w:pPr>
              <w:pStyle w:val="Compact"/>
              <w:jc w:val="left"/>
            </w:pPr>
            <w:r>
              <w:t xml:space="preserve">10</w:t>
            </w:r>
          </w:p>
        </w:tc>
        <w:tc>
          <w:tcPr/>
          <w:p>
            <w:pPr>
              <w:pStyle w:val="Compact"/>
              <w:jc w:val="left"/>
            </w:pPr>
            <w:r>
              <w:t xml:space="preserve">User Licenses</w:t>
            </w:r>
          </w:p>
        </w:tc>
        <w:tc>
          <w:tcPr/>
          <w:p>
            <w:pPr>
              <w:pStyle w:val="Compact"/>
              <w:jc w:val="left"/>
            </w:pPr>
            <w:r>
              <w:t xml:space="preserve">420.00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Quarterly Financial Reporting &amp; Audit Support — Preparation of consolidated financial statements in accordance with Belgian GAAP and IFRS standards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3,600.00</w:t>
            </w:r>
          </w:p>
        </w:tc>
        <w:tc>
          <w:tcPr/>
          <w:p>
            <w:pPr>
              <w:pStyle w:val="Compact"/>
              <w:jc w:val="left"/>
            </w:pPr>
            <w:r>
              <w:t xml:space="preserve">14,400.00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139,450.00 EUR</w:t>
            </w:r>
          </w:p>
        </w:tc>
      </w:tr>
      <w:tr>
        <w:tc>
          <w:tcPr/>
          <w:p>
            <w:pPr>
              <w:pStyle w:val="Compact"/>
              <w:jc w:val="left"/>
            </w:pPr>
            <w:r>
              <w:t xml:space="preserve">VAT (TVA) @ 21% (Belgian Standard Rate):</w:t>
            </w:r>
          </w:p>
        </w:tc>
        <w:tc>
          <w:tcPr/>
          <w:p>
            <w:pPr>
              <w:pStyle w:val="Compact"/>
              <w:jc w:val="right"/>
            </w:pPr>
            <w:r>
              <w:t xml:space="preserve">29,284.50 EUR</w:t>
            </w:r>
          </w:p>
        </w:tc>
      </w:tr>
      <w:tr>
        <w:tc>
          <w:tcPr/>
          <w:p>
            <w:pPr>
              <w:pStyle w:val="Compact"/>
              <w:jc w:val="left"/>
            </w:pPr>
            <w:r>
              <w:t xml:space="preserve">Banker Service Fee (2.5%):</w:t>
            </w:r>
          </w:p>
        </w:tc>
        <w:tc>
          <w:tcPr/>
          <w:p>
            <w:pPr>
              <w:pStyle w:val="Compact"/>
              <w:jc w:val="right"/>
            </w:pPr>
            <w:r>
              <w:t xml:space="preserve">3,486.25 EUR</w:t>
            </w:r>
          </w:p>
        </w:tc>
      </w:tr>
      <w:tr>
        <w:tc>
          <w:tcPr/>
          <w:p>
            <w:pPr>
              <w:pStyle w:val="Compact"/>
              <w:jc w:val="left"/>
            </w:pPr>
            <w:r>
              <w:t xml:space="preserve">GRAND TOTAL (incl. VAT):</w:t>
            </w:r>
          </w:p>
        </w:tc>
        <w:tc>
          <w:tcPr/>
          <w:p>
            <w:pPr>
              <w:pStyle w:val="Compact"/>
              <w:jc w:val="right"/>
            </w:pPr>
            <w:r>
              <w:t xml:space="preserve">172,220.75 EUR</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Delivery and Commencement:</w:t>
      </w:r>
      <w:r>
        <w:t xml:space="preserve"> </w:t>
      </w:r>
      <w:r>
        <w:t xml:space="preserve">All banking services and infrastructure outlined in this Purchase Order shall be fully operational no later than 30 July 2025. The Banker shall ensure that all accounts, payment channels, and advisory engagements are activated at the Purchaser's registered premises in Brussels, Belgium, prior to this date.</w:t>
      </w:r>
    </w:p>
    <w:p>
      <w:pPr>
        <w:numPr>
          <w:ilvl w:val="0"/>
          <w:numId w:val="1001"/>
        </w:numPr>
        <w:pStyle w:val="Compact"/>
      </w:pPr>
      <w:r>
        <w:rPr>
          <w:bCs/>
          <w:b/>
        </w:rPr>
        <w:t xml:space="preserve">Payment Terms:</w:t>
      </w:r>
      <w:r>
        <w:t xml:space="preserve"> </w:t>
      </w:r>
      <w:r>
        <w:t xml:space="preserve">Payment shall be made within 30 calendar days from the date of invoice issuance by the Banker. Payments shall be executed via SEPA bank transfer to the Banker's designated account at a Belgian financial institution. The Purchaser reserves the right to withhold payment in the event of non-conformity with the services described herein.</w:t>
      </w:r>
    </w:p>
    <w:p>
      <w:pPr>
        <w:numPr>
          <w:ilvl w:val="0"/>
          <w:numId w:val="1001"/>
        </w:numPr>
        <w:pStyle w:val="Compact"/>
      </w:pPr>
      <w:r>
        <w:rPr>
          <w:bCs/>
          <w:b/>
        </w:rPr>
        <w:t xml:space="preserve">Regulatory Compliance:</w:t>
      </w:r>
      <w:r>
        <w:t xml:space="preserve"> </w:t>
      </w:r>
      <w:r>
        <w:t xml:space="preserve">The Banker warrants that all services rendered under this Purchase Order shall comply with the regulations of the National Bank of Belgium, the Belgian Financial Services and Markets Authority (FSMA), and all applicable European Union directives, including but not limited to PSD2 (Payment Services Directive 2) and AMLD5 (Fifth Anti-Money Laundering Directive).</w:t>
      </w:r>
    </w:p>
    <w:p>
      <w:pPr>
        <w:numPr>
          <w:ilvl w:val="0"/>
          <w:numId w:val="1001"/>
        </w:numPr>
        <w:pStyle w:val="Compact"/>
      </w:pPr>
      <w:r>
        <w:rPr>
          <w:bCs/>
          <w:b/>
        </w:rPr>
        <w:t xml:space="preserve">Data Protection:</w:t>
      </w:r>
      <w:r>
        <w:t xml:space="preserve"> </w:t>
      </w:r>
      <w:r>
        <w:t xml:space="preserve">All personal and financial data processed under this engagement shall be handled in strict accordance with the Belgian Data Protection Act (Loi du 30 juillet 2018 relative à la protection des personnes physiques à l'égard du traitement des données à caractère personnel) and the EU General Data Protection Regulation (GDPR). Data servers shall be located within the Brussels-Capital Region or the European Economic Area.</w:t>
      </w:r>
    </w:p>
    <w:p>
      <w:pPr>
        <w:numPr>
          <w:ilvl w:val="0"/>
          <w:numId w:val="1001"/>
        </w:numPr>
        <w:pStyle w:val="Compact"/>
      </w:pPr>
      <w:r>
        <w:rPr>
          <w:bCs/>
          <w:b/>
        </w:rPr>
        <w:t xml:space="preserve">Termination:</w:t>
      </w:r>
      <w:r>
        <w:t xml:space="preserve"> </w:t>
      </w:r>
      <w:r>
        <w:t xml:space="preserve">Either party may terminate this Purchase Order with a written notice of 90 days. In the event of termination, the Banker shall provide a full transition report and handover of all financial records, account documentation, and compliance files within 30 days of the effective termination date.</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by the competent courts of Brussels, Belgium. The parties agree to attempt mediation through the Belgian Mediation Institute before initiating formal legal proceedings.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war, terrorism, or regulatory changes enacted by the Belgian or European authorities.</w:t>
      </w:r>
    </w:p>
    <w:p>
      <w:pPr>
        <w:numPr>
          <w:ilvl w:val="0"/>
          <w:numId w:val="1001"/>
        </w:numPr>
        <w:pStyle w:val="Compact"/>
      </w:pPr>
      <w:r>
        <w:rPr>
          <w:bCs/>
          <w:b/>
        </w:rPr>
        <w:t xml:space="preserve">Confidentiality:</w:t>
      </w:r>
      <w:r>
        <w:t xml:space="preserve"> </w:t>
      </w:r>
      <w:r>
        <w:t xml:space="preserve">The Banker shall maintain strict confidentiality regarding all financial information, transaction data, and business strategies of the Purchaser. This obligation shall survive the termination of this Purchase Order for a period of five (5) years.</w:t>
      </w:r>
    </w:p>
    <w:bookmarkEnd w:id="23"/>
    <w:bookmarkStart w:id="24" w:name="authorisation-and-signatures"/>
    <w:p>
      <w:pPr>
        <w:pStyle w:val="Heading2"/>
      </w:pPr>
      <w:r>
        <w:t xml:space="preserve">4. Authorisation and Signatures</w:t>
      </w:r>
    </w:p>
    <w:p>
      <w:pPr>
        <w:pStyle w:val="FirstParagraph"/>
      </w:pPr>
      <w:r>
        <w:t xml:space="preserve">This Purchase Order is issued and authorised by the undersigned representative of the Brussels Metropolitan Financial Services Consortium. The Banker, De Bruxelles Bankiers &amp; Partners S.A., acknowledges receipt of this Purchase Order and confirms its acceptance of all terms, conditions, and service obligations described herein. By signing below, both parties agree to be bound by this document under the commercial law of the Kingdom of Belgium.</w:t>
      </w:r>
    </w:p>
    <w:p>
      <w:pPr>
        <w:pStyle w:val="BodyText"/>
      </w:pPr>
      <w:r>
        <w:rPr>
          <w:bCs/>
          <w:b/>
        </w:rPr>
        <w:t xml:space="preserve">For and on behalf of the Purchaser:</w:t>
      </w:r>
      <w:r>
        <w:br/>
      </w:r>
      <w:r>
        <w:br/>
      </w:r>
      <w:r>
        <w:t xml:space="preserve">Name: Mme. Catherine Lefebvre</w:t>
      </w:r>
      <w:r>
        <w:br/>
      </w:r>
      <w:r>
        <w:t xml:space="preserve">Title: Chief Financial Officer</w:t>
      </w:r>
      <w:r>
        <w:br/>
      </w:r>
      <w:r>
        <w:t xml:space="preserve">Brussels Metropolitan Financial Services Consortium</w:t>
      </w:r>
      <w:r>
        <w:br/>
      </w:r>
      <w:r>
        <w:t xml:space="preserve">Rue de la Loi 162, 1000 Brussels, Belgium</w:t>
      </w:r>
      <w:r>
        <w:br/>
      </w:r>
      <w:r>
        <w:br/>
      </w:r>
      <w:r>
        <w:t xml:space="preserve">Signature: _________________________</w:t>
      </w:r>
      <w:r>
        <w:br/>
      </w:r>
      <w:r>
        <w:t xml:space="preserve">Date: _________________________</w:t>
      </w:r>
    </w:p>
    <w:p>
      <w:pPr>
        <w:pStyle w:val="BodyText"/>
      </w:pPr>
      <w:r>
        <w:rPr>
          <w:bCs/>
          <w:b/>
        </w:rPr>
        <w:t xml:space="preserve">For and on behalf of the Banker (Supplier):</w:t>
      </w:r>
      <w:r>
        <w:br/>
      </w:r>
      <w:r>
        <w:br/>
      </w:r>
      <w:r>
        <w:t xml:space="preserve">Name: Mr. Hendrik Van den Berghe</w:t>
      </w:r>
      <w:r>
        <w:br/>
      </w:r>
      <w:r>
        <w:t xml:space="preserve">Title: Senior Relationship Manager</w:t>
      </w:r>
      <w:r>
        <w:br/>
      </w:r>
      <w:r>
        <w:t xml:space="preserve">De Bruxelles Bankiers &amp; Partners S.A.</w:t>
      </w:r>
      <w:r>
        <w:br/>
      </w:r>
      <w:r>
        <w:t xml:space="preserve">Avenue Louise 245, 1050 Brussels, Belgium</w:t>
      </w:r>
      <w:r>
        <w:br/>
      </w:r>
      <w:r>
        <w:br/>
      </w:r>
      <w:r>
        <w:t xml:space="preserve">Signature: _________________________</w:t>
      </w:r>
      <w:r>
        <w:br/>
      </w:r>
      <w:r>
        <w:t xml:space="preserve">Date: _________________________</w:t>
      </w:r>
    </w:p>
    <w:p>
      <w:pPr>
        <w:pStyle w:val="BodyText"/>
      </w:pPr>
      <w:r>
        <w:t xml:space="preserve">This Purchase Order (PO-BE-BRU-2025-04871) is a legally binding document governed by the laws of Belgium. It is issued in the Brussels-Capital Region and is subject to Belgian commercial and financial regulations. All references to "Banker" in this document denote the designated financial service provider, De Bruxelles Bankiers &amp; Partners S.A. This document is valid only when signed and stamped by both parties. © 2025 Brussels Metropolitan Financial Services Consortium.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Banking Services - Brussels, Belgium</dc:title>
  <dc:creator/>
  <dc:language>en</dc:language>
  <cp:keywords/>
  <dcterms:created xsi:type="dcterms:W3CDTF">2026-10-10T02:42:31Z</dcterms:created>
  <dcterms:modified xsi:type="dcterms:W3CDTF">2026-10-10T02:42:31Z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