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Banker Financial Services &amp; Institutional Procurement Division</w:t>
      </w:r>
    </w:p>
    <w:p>
      <w:pPr>
        <w:pStyle w:val="BodyText"/>
      </w:pPr>
      <w:r>
        <w:t xml:space="preserve">Setor Bancário Sul (SBS), Quadra 02, Bloco A, Lote 15 — Brasília, DF — CEP 70070-000 — Brazil</w:t>
      </w:r>
    </w:p>
    <w:p>
      <w:pPr>
        <w:pStyle w:val="BodyText"/>
      </w:pPr>
      <w:r>
        <w:t xml:space="preserve">CNPJ: 12.345.678/0001-90 | Telephone: +55 (61) 3322-4455 | Email: procurement@bankerbrasilia.com.br</w:t>
      </w:r>
    </w:p>
    <w:bookmarkEnd w:id="20"/>
    <w:p>
      <w:pPr>
        <w:pStyle w:val="BodyText"/>
      </w:pPr>
      <w:r>
        <w:t xml:space="preserve">PO No.: BR-BSB-2025-004872</w:t>
      </w:r>
      <w:r>
        <w:t xml:space="preserve"> </w:t>
      </w:r>
      <w:r>
        <w:t xml:space="preserve">CONFIDENTIAL</w:t>
      </w:r>
    </w:p>
    <w:bookmarkStart w:id="21" w:name="buyer-issuing-banker"/>
    <w:p>
      <w:pPr>
        <w:pStyle w:val="Heading3"/>
      </w:pPr>
      <w:r>
        <w:t xml:space="preserve">Buyer (Issuing Banker)</w:t>
      </w:r>
    </w:p>
    <w:p>
      <w:pPr>
        <w:pStyle w:val="FirstParagraph"/>
      </w:pPr>
      <w:r>
        <w:rPr>
          <w:bCs/>
          <w:b/>
        </w:rPr>
        <w:t xml:space="preserve">Banker S.A. — Banco de Investimentos</w:t>
      </w:r>
    </w:p>
    <w:p>
      <w:pPr>
        <w:pStyle w:val="BodyText"/>
      </w:pPr>
      <w:r>
        <w:t xml:space="preserve">Setor Bancário Sul, Quadra 02, Bloco A, Lote 15</w:t>
      </w:r>
    </w:p>
    <w:p>
      <w:pPr>
        <w:pStyle w:val="BodyText"/>
      </w:pPr>
      <w:r>
        <w:t xml:space="preserve">Brasília, Distrito Federal — CEP 70070-000</w:t>
      </w:r>
    </w:p>
    <w:p>
      <w:pPr>
        <w:pStyle w:val="BodyText"/>
      </w:pPr>
      <w:r>
        <w:t xml:space="preserve">Brazil</w:t>
      </w:r>
    </w:p>
    <w:p>
      <w:pPr>
        <w:pStyle w:val="BodyText"/>
      </w:pPr>
      <w:r>
        <w:t xml:space="preserve">Authorized Banker: Ricardo Almeida Santos</w:t>
      </w:r>
    </w:p>
    <w:p>
      <w:pPr>
        <w:pStyle w:val="BodyText"/>
      </w:pPr>
      <w:r>
        <w:t xml:space="preserve">Position: Chief Procurement Officer</w:t>
      </w:r>
    </w:p>
    <w:p>
      <w:pPr>
        <w:pStyle w:val="BodyText"/>
      </w:pPr>
      <w:r>
        <w:t xml:space="preserve">License: Banco Central do Brasil — Reg. No. 09876</w:t>
      </w:r>
    </w:p>
    <w:bookmarkEnd w:id="21"/>
    <w:bookmarkStart w:id="22" w:name="seller-supplier"/>
    <w:p>
      <w:pPr>
        <w:pStyle w:val="Heading3"/>
      </w:pPr>
      <w:r>
        <w:t xml:space="preserve">Seller / Supplier</w:t>
      </w:r>
    </w:p>
    <w:p>
      <w:pPr>
        <w:pStyle w:val="FirstParagraph"/>
      </w:pPr>
      <w:r>
        <w:rPr>
          <w:bCs/>
          <w:b/>
        </w:rPr>
        <w:t xml:space="preserve">TechBank Solutions Ltda.</w:t>
      </w:r>
    </w:p>
    <w:p>
      <w:pPr>
        <w:pStyle w:val="BodyText"/>
      </w:pPr>
      <w:r>
        <w:t xml:space="preserve">Av. Paulista, 1578 — Conj. 1204</w:t>
      </w:r>
    </w:p>
    <w:p>
      <w:pPr>
        <w:pStyle w:val="BodyText"/>
      </w:pPr>
      <w:r>
        <w:t xml:space="preserve">São Paulo, SP — CEP 01310-200</w:t>
      </w:r>
    </w:p>
    <w:p>
      <w:pPr>
        <w:pStyle w:val="BodyText"/>
      </w:pPr>
      <w:r>
        <w:t xml:space="preserve">Brazil</w:t>
      </w:r>
    </w:p>
    <w:p>
      <w:pPr>
        <w:pStyle w:val="BodyText"/>
      </w:pPr>
      <w:r>
        <w:t xml:space="preserve">Contact: Mariana Costa Ferreira</w:t>
      </w:r>
    </w:p>
    <w:p>
      <w:pPr>
        <w:pStyle w:val="BodyText"/>
      </w:pPr>
      <w:r>
        <w:t xml:space="preserve">Position: Account Manager — Institutional Sales</w:t>
      </w:r>
    </w:p>
    <w:p>
      <w:pPr>
        <w:pStyle w:val="BodyText"/>
      </w:pPr>
      <w:r>
        <w:t xml:space="preserve">CNPJ: 98.765.432/0001-10</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05 August 2025</w:t>
      </w:r>
    </w:p>
    <w:p>
      <w:pPr>
        <w:pStyle w:val="BodyText"/>
      </w:pPr>
      <w:r>
        <w:rPr>
          <w:bCs/>
          <w:b/>
        </w:rPr>
        <w:t xml:space="preserve">Delivery Location:</w:t>
      </w:r>
      <w:r>
        <w:t xml:space="preserve"> </w:t>
      </w:r>
      <w:r>
        <w:t xml:space="preserve">Banker S.A. Headquarters, SBS Q.02, Bloco A, Brasília, DF, Brazil</w:t>
      </w:r>
    </w:p>
    <w:p>
      <w:pPr>
        <w:pStyle w:val="BodyText"/>
      </w:pPr>
      <w:r>
        <w:rPr>
          <w:bCs/>
          <w:b/>
        </w:rPr>
        <w:t xml:space="preserve">Payment Terms:</w:t>
      </w:r>
      <w:r>
        <w:t xml:space="preserve"> </w:t>
      </w:r>
      <w:r>
        <w:t xml:space="preserve">Net 60 days from invoice acceptance</w:t>
      </w:r>
    </w:p>
    <w:p>
      <w:pPr>
        <w:pStyle w:val="BodyText"/>
      </w:pPr>
      <w:r>
        <w:rPr>
          <w:bCs/>
          <w:b/>
        </w:rPr>
        <w:t xml:space="preserve">Currency:</w:t>
      </w:r>
      <w:r>
        <w:t xml:space="preserve"> </w:t>
      </w:r>
      <w:r>
        <w:t xml:space="preserve">Brazilian Real (BRL / R$)</w:t>
      </w:r>
    </w:p>
    <w:p>
      <w:pPr>
        <w:pStyle w:val="BodyText"/>
      </w:pPr>
      <w:r>
        <w:rPr>
          <w:bCs/>
          <w:b/>
        </w:rPr>
        <w:t xml:space="preserve">Incoterms:</w:t>
      </w:r>
      <w:r>
        <w:t xml:space="preserve"> </w:t>
      </w:r>
      <w:r>
        <w:t xml:space="preserve">DDP (Delivered Duty Paid) — Brasília, DF</w:t>
      </w:r>
    </w:p>
    <w:bookmarkEnd w:id="23"/>
    <w:bookmarkStart w:id="24" w:name="reference-compliance"/>
    <w:p>
      <w:pPr>
        <w:pStyle w:val="Heading3"/>
      </w:pPr>
      <w:r>
        <w:t xml:space="preserve">Reference &amp; Compliance</w:t>
      </w:r>
    </w:p>
    <w:p>
      <w:pPr>
        <w:pStyle w:val="FirstParagraph"/>
      </w:pPr>
      <w:r>
        <w:rPr>
          <w:bCs/>
          <w:b/>
        </w:rPr>
        <w:t xml:space="preserve">Internal Ref:</w:t>
      </w:r>
      <w:r>
        <w:t xml:space="preserve"> </w:t>
      </w:r>
      <w:r>
        <w:t xml:space="preserve">BKR-PROC-2025-114</w:t>
      </w:r>
    </w:p>
    <w:p>
      <w:pPr>
        <w:pStyle w:val="BodyText"/>
      </w:pPr>
      <w:r>
        <w:rPr>
          <w:bCs/>
          <w:b/>
        </w:rPr>
        <w:t xml:space="preserve">BACEN Regulation:</w:t>
      </w:r>
      <w:r>
        <w:t xml:space="preserve"> </w:t>
      </w:r>
      <w:r>
        <w:t xml:space="preserve">Circular No. 3.978/2020</w:t>
      </w:r>
    </w:p>
    <w:p>
      <w:pPr>
        <w:pStyle w:val="BodyText"/>
      </w:pPr>
      <w:r>
        <w:rPr>
          <w:bCs/>
          <w:b/>
        </w:rPr>
        <w:t xml:space="preserve">LGPD Compliance:</w:t>
      </w:r>
      <w:r>
        <w:t xml:space="preserve"> </w:t>
      </w:r>
      <w:r>
        <w:t xml:space="preserve">Applicable (Lei 13.709/2018)</w:t>
      </w:r>
    </w:p>
    <w:p>
      <w:pPr>
        <w:pStyle w:val="BodyText"/>
      </w:pPr>
      <w:r>
        <w:rPr>
          <w:bCs/>
          <w:b/>
        </w:rPr>
        <w:t xml:space="preserve">Tax Classification:</w:t>
      </w:r>
      <w:r>
        <w:t xml:space="preserve"> </w:t>
      </w:r>
      <w:r>
        <w:t xml:space="preserve">NCM 8471.49.00 / 8517.62.00</w:t>
      </w:r>
    </w:p>
    <w:p>
      <w:pPr>
        <w:pStyle w:val="BodyText"/>
      </w:pPr>
      <w:r>
        <w:rPr>
          <w:bCs/>
          <w:b/>
        </w:rPr>
        <w:t xml:space="preserve">Contract No:</w:t>
      </w:r>
      <w:r>
        <w:t xml:space="preserve"> </w:t>
      </w:r>
      <w:r>
        <w:t xml:space="preserve">BKR-CTR-2025-0031</w:t>
      </w:r>
    </w:p>
    <w:bookmarkEnd w:id="24"/>
    <w:bookmarkStart w:id="26" w:name="itemized-purchase-description"/>
    <w:p>
      <w:pPr>
        <w:pStyle w:val="Heading2"/>
      </w:pPr>
      <w:r>
        <w:t xml:space="preserve">Itemized Purchase Description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c>
          <w:tcPr/>
          <w:p>
            <w:pPr>
              <w:pStyle w:val="Compact"/>
              <w:jc w:val="left"/>
            </w:pPr>
            <w:r>
              <w:t xml:space="preserve">Delivery / Notes</w:t>
            </w:r>
          </w:p>
        </w:tc>
      </w:tr>
      <w:tr>
        <w:tc>
          <w:tcPr/>
          <w:p>
            <w:pPr>
              <w:pStyle w:val="Compact"/>
              <w:jc w:val="left"/>
            </w:pPr>
            <w:r>
              <w:t xml:space="preserve">1</w:t>
            </w:r>
          </w:p>
        </w:tc>
        <w:tc>
          <w:tcPr/>
          <w:p>
            <w:pPr>
              <w:pStyle w:val="Compact"/>
              <w:jc w:val="left"/>
            </w:pPr>
            <w:r>
              <w:t xml:space="preserve">Enterprise-grade core banking platform license (perpetual) for Banker S.A. Brasília operations, including multi-branch deployment, real-time transaction processing, and integration with the Banco Central do Brasil payment infrastructure (Pix, TED, DOC).</w:t>
            </w:r>
          </w:p>
        </w:tc>
        <w:tc>
          <w:tcPr/>
          <w:p>
            <w:pPr>
              <w:pStyle w:val="Compact"/>
              <w:jc w:val="left"/>
            </w:pPr>
            <w:r>
              <w:t xml:space="preserve">1</w:t>
            </w:r>
          </w:p>
        </w:tc>
        <w:tc>
          <w:tcPr/>
          <w:p>
            <w:pPr>
              <w:pStyle w:val="Compact"/>
              <w:jc w:val="left"/>
            </w:pPr>
            <w:r>
              <w:t xml:space="preserve">R$ 2,450,000.00</w:t>
            </w:r>
          </w:p>
        </w:tc>
        <w:tc>
          <w:tcPr/>
          <w:p>
            <w:pPr>
              <w:pStyle w:val="Compact"/>
              <w:jc w:val="left"/>
            </w:pPr>
            <w:r>
              <w:t xml:space="preserve">R$ 2,450,000.00</w:t>
            </w:r>
          </w:p>
        </w:tc>
        <w:tc>
          <w:tcPr/>
          <w:p>
            <w:pPr>
              <w:pStyle w:val="Compact"/>
              <w:jc w:val="left"/>
            </w:pPr>
            <w:r>
              <w:t xml:space="preserve">Installation at SBS HQ, Brasília. On-site deployment by certified engineers.</w:t>
            </w:r>
          </w:p>
        </w:tc>
      </w:tr>
      <w:tr>
        <w:tc>
          <w:tcPr/>
          <w:p>
            <w:pPr>
              <w:pStyle w:val="Compact"/>
              <w:jc w:val="left"/>
            </w:pPr>
            <w:r>
              <w:t xml:space="preserve">2</w:t>
            </w:r>
          </w:p>
        </w:tc>
        <w:tc>
          <w:tcPr/>
          <w:p>
            <w:pPr>
              <w:pStyle w:val="Compact"/>
              <w:jc w:val="left"/>
            </w:pPr>
            <w:r>
              <w:t xml:space="preserve">Biometric authentication terminals (fingerprint and facial recognition) for teller stations and VIP banker offices. Compliant with BACEN security standards and LGPD data protection requirements.</w:t>
            </w:r>
          </w:p>
        </w:tc>
        <w:tc>
          <w:tcPr/>
          <w:p>
            <w:pPr>
              <w:pStyle w:val="Compact"/>
              <w:jc w:val="left"/>
            </w:pPr>
            <w:r>
              <w:t xml:space="preserve">48</w:t>
            </w:r>
          </w:p>
        </w:tc>
        <w:tc>
          <w:tcPr/>
          <w:p>
            <w:pPr>
              <w:pStyle w:val="Compact"/>
              <w:jc w:val="left"/>
            </w:pPr>
            <w:r>
              <w:t xml:space="preserve">R$ 18,750.00</w:t>
            </w:r>
          </w:p>
        </w:tc>
        <w:tc>
          <w:tcPr/>
          <w:p>
            <w:pPr>
              <w:pStyle w:val="Compact"/>
              <w:jc w:val="left"/>
            </w:pPr>
            <w:r>
              <w:t xml:space="preserve">R$ 900,000.00</w:t>
            </w:r>
          </w:p>
        </w:tc>
        <w:tc>
          <w:tcPr/>
          <w:p>
            <w:pPr>
              <w:pStyle w:val="Compact"/>
              <w:jc w:val="left"/>
            </w:pPr>
            <w:r>
              <w:t xml:space="preserve">Staggered delivery: 24 units by 20 Jul 2025, 24 units by 05 Aug 2025.</w:t>
            </w:r>
          </w:p>
        </w:tc>
      </w:tr>
      <w:tr>
        <w:tc>
          <w:tcPr/>
          <w:p>
            <w:pPr>
              <w:pStyle w:val="Compact"/>
              <w:jc w:val="left"/>
            </w:pPr>
            <w:r>
              <w:t xml:space="preserve">3</w:t>
            </w:r>
          </w:p>
        </w:tc>
        <w:tc>
          <w:tcPr/>
          <w:p>
            <w:pPr>
              <w:pStyle w:val="Compact"/>
              <w:jc w:val="left"/>
            </w:pPr>
            <w:r>
              <w:t xml:space="preserve">High-security document shredding and data destruction equipment for the Banker records management department, ensuring compliance with the 10-year retention policy mandated by Brazilian banking regulations.</w:t>
            </w:r>
          </w:p>
        </w:tc>
        <w:tc>
          <w:tcPr/>
          <w:p>
            <w:pPr>
              <w:pStyle w:val="Compact"/>
              <w:jc w:val="left"/>
            </w:pPr>
            <w:r>
              <w:t xml:space="preserve">6</w:t>
            </w:r>
          </w:p>
        </w:tc>
        <w:tc>
          <w:tcPr/>
          <w:p>
            <w:pPr>
              <w:pStyle w:val="Compact"/>
              <w:jc w:val="left"/>
            </w:pPr>
            <w:r>
              <w:t xml:space="preserve">R$ 42,300.00</w:t>
            </w:r>
          </w:p>
        </w:tc>
        <w:tc>
          <w:tcPr/>
          <w:p>
            <w:pPr>
              <w:pStyle w:val="Compact"/>
              <w:jc w:val="left"/>
            </w:pPr>
            <w:r>
              <w:t xml:space="preserve">R$ 253,800.00</w:t>
            </w:r>
          </w:p>
        </w:tc>
        <w:tc>
          <w:tcPr/>
          <w:p>
            <w:pPr>
              <w:pStyle w:val="Compact"/>
              <w:jc w:val="left"/>
            </w:pPr>
            <w:r>
              <w:t xml:space="preserve">Delivered to basement level, SBS Q.02, Bloco A, Brasília.</w:t>
            </w:r>
          </w:p>
        </w:tc>
      </w:tr>
      <w:tr>
        <w:tc>
          <w:tcPr/>
          <w:p>
            <w:pPr>
              <w:pStyle w:val="Compact"/>
              <w:jc w:val="left"/>
            </w:pPr>
            <w:r>
              <w:t xml:space="preserve">4</w:t>
            </w:r>
          </w:p>
        </w:tc>
        <w:tc>
          <w:tcPr/>
          <w:p>
            <w:pPr>
              <w:pStyle w:val="Compact"/>
              <w:jc w:val="left"/>
            </w:pPr>
            <w:r>
              <w:t xml:space="preserve">Annual maintenance and technical support contract for all banking hardware and software systems deployed at the Brasília headquarters. Includes 24/7 remote support, quarterly on-site inspections, and priority response for critical failures affecting banker operations.</w:t>
            </w:r>
          </w:p>
        </w:tc>
        <w:tc>
          <w:tcPr/>
          <w:p>
            <w:pPr>
              <w:pStyle w:val="Compact"/>
              <w:jc w:val="left"/>
            </w:pPr>
            <w:r>
              <w:t xml:space="preserve">1</w:t>
            </w:r>
          </w:p>
        </w:tc>
        <w:tc>
          <w:tcPr/>
          <w:p>
            <w:pPr>
              <w:pStyle w:val="Compact"/>
              <w:jc w:val="left"/>
            </w:pPr>
            <w:r>
              <w:t xml:space="preserve">R$ 680,000.00</w:t>
            </w:r>
          </w:p>
        </w:tc>
        <w:tc>
          <w:tcPr/>
          <w:p>
            <w:pPr>
              <w:pStyle w:val="Compact"/>
              <w:jc w:val="left"/>
            </w:pPr>
            <w:r>
              <w:t xml:space="preserve">R$ 680,000.00</w:t>
            </w:r>
          </w:p>
        </w:tc>
        <w:tc>
          <w:tcPr/>
          <w:p>
            <w:pPr>
              <w:pStyle w:val="Compact"/>
              <w:jc w:val="left"/>
            </w:pPr>
            <w:r>
              <w:t xml:space="preserve">Service contract effective 01 Sep 2025 through 31 Aug 2026.</w:t>
            </w:r>
          </w:p>
        </w:tc>
      </w:tr>
      <w:tr>
        <w:tc>
          <w:tcPr/>
          <w:p>
            <w:pPr>
              <w:pStyle w:val="Compact"/>
              <w:jc w:val="left"/>
            </w:pPr>
            <w:r>
              <w:t xml:space="preserve">5</w:t>
            </w:r>
          </w:p>
        </w:tc>
        <w:tc>
          <w:tcPr/>
          <w:p>
            <w:pPr>
              <w:pStyle w:val="Compact"/>
              <w:jc w:val="left"/>
            </w:pPr>
            <w:r>
              <w:t xml:space="preserve">Training program for 120 Banker employees (bankers, tellers, compliance officers, and IT staff) on the new core banking platform, cybersecurity protocols, and updated BACEN regulatory procedures. Delivered in-person at the Brasília training center.</w:t>
            </w:r>
          </w:p>
        </w:tc>
        <w:tc>
          <w:tcPr/>
          <w:p>
            <w:pPr>
              <w:pStyle w:val="Compact"/>
              <w:jc w:val="left"/>
            </w:pPr>
            <w:r>
              <w:t xml:space="preserve">1</w:t>
            </w:r>
          </w:p>
        </w:tc>
        <w:tc>
          <w:tcPr/>
          <w:p>
            <w:pPr>
              <w:pStyle w:val="Compact"/>
              <w:jc w:val="left"/>
            </w:pPr>
            <w:r>
              <w:t xml:space="preserve">R$ 340,000.00</w:t>
            </w:r>
          </w:p>
        </w:tc>
        <w:tc>
          <w:tcPr/>
          <w:p>
            <w:pPr>
              <w:pStyle w:val="Compact"/>
              <w:jc w:val="left"/>
            </w:pPr>
            <w:r>
              <w:t xml:space="preserve">R$ 340,000.00</w:t>
            </w:r>
          </w:p>
        </w:tc>
        <w:tc>
          <w:tcPr/>
          <w:p>
            <w:pPr>
              <w:pStyle w:val="Compact"/>
              <w:jc w:val="left"/>
            </w:pPr>
            <w:r>
              <w:t xml:space="preserve">Three-week intensive program starting 10 Aug 2025.</w:t>
            </w:r>
          </w:p>
        </w:tc>
      </w:tr>
      <w:tr>
        <w:tc>
          <w:tcPr/>
          <w:p>
            <w:pPr>
              <w:pStyle w:val="Compact"/>
              <w:jc w:val="left"/>
            </w:pPr>
            <w:r>
              <w:t xml:space="preserve">6</w:t>
            </w:r>
          </w:p>
        </w:tc>
        <w:tc>
          <w:tcPr/>
          <w:p>
            <w:pPr>
              <w:pStyle w:val="Compact"/>
              <w:jc w:val="left"/>
            </w:pPr>
            <w:r>
              <w:t xml:space="preserve">Network infrastructure upgrade: 10Gbps fiber-optic backbone, redundant data center racks, and encrypted communication links connecting the Brasília headquarters to regional Banker branches in Goiânia, Cuiabá, and Palmas.</w:t>
            </w:r>
          </w:p>
        </w:tc>
        <w:tc>
          <w:tcPr/>
          <w:p>
            <w:pPr>
              <w:pStyle w:val="Compact"/>
              <w:jc w:val="left"/>
            </w:pPr>
            <w:r>
              <w:t xml:space="preserve">1</w:t>
            </w:r>
          </w:p>
        </w:tc>
        <w:tc>
          <w:tcPr/>
          <w:p>
            <w:pPr>
              <w:pStyle w:val="Compact"/>
              <w:jc w:val="left"/>
            </w:pPr>
            <w:r>
              <w:t xml:space="preserve">R$ 1,120,000.00</w:t>
            </w:r>
          </w:p>
        </w:tc>
        <w:tc>
          <w:tcPr/>
          <w:p>
            <w:pPr>
              <w:pStyle w:val="Compact"/>
              <w:jc w:val="left"/>
            </w:pPr>
            <w:r>
              <w:t xml:space="preserve">R$ 1,120,000.00</w:t>
            </w:r>
          </w:p>
        </w:tc>
        <w:tc>
          <w:tcPr/>
          <w:p>
            <w:pPr>
              <w:pStyle w:val="Compact"/>
              <w:jc w:val="left"/>
            </w:pPr>
            <w:r>
              <w:t xml:space="preserve">Phased installation over 6 weeks. Zero-downtime cutover required.</w:t>
            </w:r>
          </w:p>
        </w:tc>
      </w:tr>
    </w:tbl>
    <w:p>
      <w:pPr>
        <w:pStyle w:val="BodyText"/>
      </w:pPr>
      <w:r>
        <w:t xml:space="preserve">Subtotal: R$ 5,743,800.00</w:t>
      </w:r>
    </w:p>
    <w:p>
      <w:pPr>
        <w:pStyle w:val="BodyText"/>
      </w:pPr>
      <w:r>
        <w:t xml:space="preserve">ICMS (18% — DF): R$ 1,033,884.00</w:t>
      </w:r>
    </w:p>
    <w:p>
      <w:pPr>
        <w:pStyle w:val="BodyText"/>
      </w:pPr>
      <w:r>
        <w:t xml:space="preserve">PIS / COFINS (9.25%): R$ 531,299.50</w:t>
      </w:r>
    </w:p>
    <w:p>
      <w:pPr>
        <w:pStyle w:val="BodyText"/>
      </w:pPr>
      <w:r>
        <w:t xml:space="preserve">Grand Total: R$ 7,308,983.50</w:t>
      </w:r>
    </w:p>
    <w:p>
      <w:pPr>
        <w:pStyle w:val="BodyText"/>
      </w:pPr>
      <w:r>
        <w:t xml:space="preserve">(Seven million, three hundred and eight thousand, nine hundred and eighty-three reais and fifty centavos)</w:t>
      </w:r>
    </w:p>
    <w:bookmarkStart w:id="25" w:name="terms-and-conditions"/>
    <w:p>
      <w:pPr>
        <w:pStyle w:val="Heading3"/>
      </w:pPr>
      <w:r>
        <w:t xml:space="preserve">Terms and Conditions</w:t>
      </w:r>
    </w:p>
    <w:p>
      <w:pPr>
        <w:numPr>
          <w:ilvl w:val="0"/>
          <w:numId w:val="1001"/>
        </w:numPr>
        <w:pStyle w:val="Compact"/>
      </w:pPr>
      <w:r>
        <w:t xml:space="preserve">This Purchase Order is issued by Banker S.A., a licensed banking institution headquartered in Brasília, Distrito Federal, Brazil, and is governed exclusively by the laws of the Federative Republic of Brazil, including the Civil Code (Lei 10.406/2002) and all applicable regulations issued by the Banco Central do Brasil (BACEN).</w:t>
      </w:r>
    </w:p>
    <w:p>
      <w:pPr>
        <w:numPr>
          <w:ilvl w:val="0"/>
          <w:numId w:val="1001"/>
        </w:numPr>
        <w:pStyle w:val="Compact"/>
      </w:pPr>
      <w:r>
        <w:t xml:space="preserve">The Seller warrants that all goods and services described herein shall conform to the specifications outlined in Annex A of Contract No. BKR-CTR-2025-0031 and shall meet or exceed the security, performance, and compliance standards required for institutional banking operations in Brasília.</w:t>
      </w:r>
    </w:p>
    <w:p>
      <w:pPr>
        <w:numPr>
          <w:ilvl w:val="0"/>
          <w:numId w:val="1001"/>
        </w:numPr>
        <w:pStyle w:val="Compact"/>
      </w:pPr>
      <w:r>
        <w:t xml:space="preserve">Delivery shall be made DDP (Delivered Duty Paid) to the Banker S.A. premises at Setor Bancário Sul, Quadra 02, Bloco A, Lote 15, Brasília, DF, CEP 70070-000. All transportation, insurance, and customs-related costs (if applicable to imported components) shall be borne by the Seller.</w:t>
      </w:r>
    </w:p>
    <w:p>
      <w:pPr>
        <w:numPr>
          <w:ilvl w:val="0"/>
          <w:numId w:val="1001"/>
        </w:numPr>
        <w:pStyle w:val="Compact"/>
      </w:pPr>
      <w:r>
        <w:t xml:space="preserve">Payment shall be executed via TED transfer to the Seller's designated account at a Brazilian financial institution, within sixty (60) calendar days following the Buyer's written acceptance of the delivered goods or services. Late payments shall accrue interest at the rate of 1% per month, compounded daily, in accordance with Brazilian commercial law.</w:t>
      </w:r>
    </w:p>
    <w:p>
      <w:pPr>
        <w:numPr>
          <w:ilvl w:val="0"/>
          <w:numId w:val="1001"/>
        </w:numPr>
        <w:pStyle w:val="Compact"/>
      </w:pPr>
      <w:r>
        <w:t xml:space="preserve">The Seller shall maintain full compliance with the General Data Protection Law (Lei Geral de Proteção de Dados — LGPD, Lei 13.709/2018) throughout the execution of this Purchase Order. Any personal data processed during installation, training, or maintenance activities shall be handled in strict accordance with LGPD provisions and BACEN data security circulars.</w:t>
      </w:r>
    </w:p>
    <w:p>
      <w:pPr>
        <w:numPr>
          <w:ilvl w:val="0"/>
          <w:numId w:val="1001"/>
        </w:numPr>
        <w:pStyle w:val="Compact"/>
      </w:pPr>
      <w:r>
        <w:t xml:space="preserve">Warranty: All hardware components carry a minimum 36-month warranty from the date of acceptance. Software licenses include 24 months of bug-fix updates and security patches. The Seller shall respond to critical service requests within four (4) hours and resolve or provide a workaround within twenty-four (24) hours.</w:t>
      </w:r>
    </w:p>
    <w:p>
      <w:pPr>
        <w:numPr>
          <w:ilvl w:val="0"/>
          <w:numId w:val="1001"/>
        </w:numPr>
        <w:pStyle w:val="Compact"/>
      </w:pPr>
      <w:r>
        <w:t xml:space="preserve">Force Majeure: Neither party shall be liable for delays or failures in performance caused by events beyond reasonable control, including but not limited to natural disasters, government decrees, or systemic banking infrastructure failures, provided that the affected party notifies the other in writing within forty-eight (48) hours.</w:t>
      </w:r>
    </w:p>
    <w:p>
      <w:pPr>
        <w:numPr>
          <w:ilvl w:val="0"/>
          <w:numId w:val="1001"/>
        </w:numPr>
        <w:pStyle w:val="Compact"/>
      </w:pPr>
      <w:r>
        <w:t xml:space="preserve">Disputes arising from this Purchase Order shall be resolved by arbitration seated in Brasília, DF, under the rules of the Câmara de Arbitragem do Centro de Arbitragem e Mediação da Câmara de Comércio Brasil-Canadá, in the Portuguese language, before a single arbitrator.</w:t>
      </w:r>
    </w:p>
    <w:p>
      <w:pPr>
        <w:numPr>
          <w:ilvl w:val="0"/>
          <w:numId w:val="1001"/>
        </w:numPr>
        <w:pStyle w:val="Compact"/>
      </w:pPr>
      <w:r>
        <w:t xml:space="preserve">This Purchase Order becomes effective upon signature by both parties and remains valid until full performance of all obligations herein. Amendments must be made in writing and signed by authorized representatives of both Banker S.A. and the Seller.</w:t>
      </w:r>
    </w:p>
    <w:p>
      <w:pPr>
        <w:numPr>
          <w:ilvl w:val="0"/>
          <w:numId w:val="1001"/>
        </w:numPr>
        <w:pStyle w:val="Compact"/>
      </w:pPr>
      <w:r>
        <w:t xml:space="preserve">The Seller acknowledges that Banker S.A. is a regulated banking entity and that all deliverables are subject to inspection and approval by the Banker's internal compliance and risk management departments prior to final acceptance.</w:t>
      </w:r>
    </w:p>
    <w:bookmarkEnd w:id="25"/>
    <w:p>
      <w:pPr>
        <w:pStyle w:val="FirstParagraph"/>
      </w:pPr>
      <w:r>
        <w:rPr>
          <w:bCs/>
          <w:b/>
        </w:rPr>
        <w:t xml:space="preserve">Ricardo Almeida Santos</w:t>
      </w:r>
      <w:r>
        <w:br/>
      </w:r>
      <w:r>
        <w:t xml:space="preserve">Chief Procurement Officer — Banker S.A.</w:t>
      </w:r>
      <w:r>
        <w:br/>
      </w:r>
      <w:r>
        <w:t xml:space="preserve">Brasília, DF — Brazil</w:t>
      </w:r>
      <w:r>
        <w:br/>
      </w:r>
      <w:r>
        <w:t xml:space="preserve">Date: _______________</w:t>
      </w:r>
    </w:p>
    <w:p>
      <w:pPr>
        <w:pStyle w:val="BodyText"/>
      </w:pPr>
      <w:r>
        <w:rPr>
          <w:bCs/>
          <w:b/>
        </w:rPr>
        <w:t xml:space="preserve">Mariana Costa Ferreira</w:t>
      </w:r>
      <w:r>
        <w:br/>
      </w:r>
      <w:r>
        <w:t xml:space="preserve">Account Manager — TechBank Solutions Ltda.</w:t>
      </w:r>
      <w:r>
        <w:br/>
      </w:r>
      <w:r>
        <w:t xml:space="preserve">São Paulo, SP — Brazil</w:t>
      </w:r>
      <w:r>
        <w:br/>
      </w:r>
      <w:r>
        <w:t xml:space="preserve">Date: _______________</w:t>
      </w:r>
    </w:p>
    <w:p>
      <w:pPr>
        <w:pStyle w:val="BodyText"/>
      </w:pPr>
      <w:r>
        <w:t xml:space="preserve">This Purchase Order document was generated by Banker S.A. Institutional Procurement Division, Brasília, DF, Brazil.</w:t>
      </w:r>
    </w:p>
    <w:p>
      <w:pPr>
        <w:pStyle w:val="BodyText"/>
      </w:pPr>
      <w:r>
        <w:t xml:space="preserve">Document ID: BR-BSB-2025-004872 | Version 1.0 | Classification: Confidential — Internal Use Only</w:t>
      </w:r>
    </w:p>
    <w:p>
      <w:pPr>
        <w:pStyle w:val="BodyText"/>
      </w:pPr>
      <w:r>
        <w:t xml:space="preserve">Banker S.A. is authorized and regulated by the Banco Central do Brasil. CNPJ 12.345.678/0001-90.</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Brazil Brasília</dc:title>
  <dc:creator/>
  <dc:language>en</dc:language>
  <cp:keywords/>
  <dcterms:created xsi:type="dcterms:W3CDTF">2026-10-10T05:10:43Z</dcterms:created>
  <dcterms:modified xsi:type="dcterms:W3CDTF">2026-10-10T05:10:43Z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