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p>
      <w:pPr>
        <w:pStyle w:val="FirstParagraph"/>
      </w:pPr>
      <w:r>
        <w:t xml:space="preserve">PO-2025-SP-04872</w:t>
      </w:r>
    </w:p>
    <w:p>
      <w:pPr>
        <w:pStyle w:val="BodyText"/>
      </w:pPr>
      <w:r>
        <w:t xml:space="preserve">Date of Issue: 14 June 2025</w:t>
      </w:r>
    </w:p>
    <w:bookmarkStart w:id="20" w:name="purchase-order"/>
    <w:p>
      <w:pPr>
        <w:pStyle w:val="Heading1"/>
      </w:pPr>
      <w:r>
        <w:t xml:space="preserve">PURCHASE ORDER</w:t>
      </w:r>
    </w:p>
    <w:p>
      <w:pPr>
        <w:pStyle w:val="FirstParagraph"/>
      </w:pPr>
      <w:r>
        <w:t xml:space="preserve">Banker Professional Services &amp; Banking Infrastructure Procurement — São Paulo, Brazil</w:t>
      </w:r>
    </w:p>
    <w:bookmarkEnd w:id="20"/>
    <w:bookmarkStart w:id="21" w:name="purchasing-entity-buyer"/>
    <w:p>
      <w:pPr>
        <w:pStyle w:val="Heading2"/>
      </w:pPr>
      <w:r>
        <w:t xml:space="preserve">1. Purchasing Entity (Buyer)</w:t>
      </w:r>
    </w:p>
    <w:p>
      <w:pPr>
        <w:pStyle w:val="FirstParagraph"/>
      </w:pPr>
      <w:r>
        <w:t xml:space="preserve">Company Name:</w:t>
      </w:r>
      <w:r>
        <w:t xml:space="preserve"> </w:t>
      </w:r>
      <w:r>
        <w:t xml:space="preserve">Banco Meridional S.A. — Unidade São Paulo</w:t>
      </w:r>
    </w:p>
    <w:p>
      <w:pPr>
        <w:pStyle w:val="BodyText"/>
      </w:pPr>
      <w:r>
        <w:t xml:space="preserve">CNPJ:</w:t>
      </w:r>
      <w:r>
        <w:t xml:space="preserve"> </w:t>
      </w:r>
      <w:r>
        <w:t xml:space="preserve">12.345.678/0001-90</w:t>
      </w:r>
    </w:p>
    <w:p>
      <w:pPr>
        <w:pStyle w:val="BodyText"/>
      </w:pPr>
      <w:r>
        <w:t xml:space="preserve">Address:</w:t>
      </w:r>
      <w:r>
        <w:t xml:space="preserve"> </w:t>
      </w:r>
      <w:r>
        <w:t xml:space="preserve">Av. Paulista, 1.578, 12º Andar, Bela Vista</w:t>
      </w:r>
    </w:p>
    <w:p>
      <w:pPr>
        <w:pStyle w:val="BodyText"/>
      </w:pPr>
      <w:r>
        <w:t xml:space="preserve">City/State/CEP:</w:t>
      </w:r>
      <w:r>
        <w:t xml:space="preserve"> </w:t>
      </w:r>
      <w:r>
        <w:t xml:space="preserve">São Paulo, SP — 01310-100, Brazil</w:t>
      </w:r>
    </w:p>
    <w:p>
      <w:pPr>
        <w:pStyle w:val="BodyText"/>
      </w:pPr>
      <w:r>
        <w:t xml:space="preserve">Authorized Signatory:</w:t>
      </w:r>
      <w:r>
        <w:t xml:space="preserve"> </w:t>
      </w:r>
      <w:r>
        <w:t xml:space="preserve">Ricardo Almeida Ferreira, Chief Operations Officer</w:t>
      </w:r>
    </w:p>
    <w:p>
      <w:pPr>
        <w:pStyle w:val="BodyText"/>
      </w:pPr>
      <w:r>
        <w:t xml:space="preserve">Contact Person:</w:t>
      </w:r>
      <w:r>
        <w:t xml:space="preserve"> </w:t>
      </w:r>
      <w:r>
        <w:t xml:space="preserve">Mariana Costa, Procurement Manager</w:t>
      </w:r>
    </w:p>
    <w:p>
      <w:pPr>
        <w:pStyle w:val="BodyText"/>
      </w:pPr>
      <w:r>
        <w:t xml:space="preserve">Email:</w:t>
      </w:r>
      <w:r>
        <w:t xml:space="preserve"> </w:t>
      </w:r>
      <w:r>
        <w:t xml:space="preserve">m.costa@bancomeridional.com.br</w:t>
      </w:r>
    </w:p>
    <w:p>
      <w:pPr>
        <w:pStyle w:val="BodyText"/>
      </w:pPr>
      <w:r>
        <w:t xml:space="preserve">Phone:</w:t>
      </w:r>
      <w:r>
        <w:t xml:space="preserve"> </w:t>
      </w:r>
      <w:r>
        <w:t xml:space="preserve">+55 (11) 3456-7890</w:t>
      </w:r>
    </w:p>
    <w:p>
      <w:pPr>
        <w:pStyle w:val="BodyText"/>
      </w:pPr>
      <w:r>
        <w:t xml:space="preserve">Payment Method:</w:t>
      </w:r>
      <w:r>
        <w:t xml:space="preserve"> </w:t>
      </w:r>
      <w:r>
        <w:t xml:space="preserve">TED Transfer (PIX) — BACEN Regulated</w:t>
      </w:r>
    </w:p>
    <w:p>
      <w:pPr>
        <w:pStyle w:val="BodyText"/>
      </w:pPr>
      <w:r>
        <w:t xml:space="preserve">Bank Account:</w:t>
      </w:r>
      <w:r>
        <w:t xml:space="preserve"> </w:t>
      </w:r>
      <w:r>
        <w:t xml:space="preserve">Banco Meridional S.A., Ag. 0142, CC 88.776-5</w:t>
      </w:r>
    </w:p>
    <w:bookmarkEnd w:id="21"/>
    <w:bookmarkStart w:id="22" w:name="supplier-seller"/>
    <w:p>
      <w:pPr>
        <w:pStyle w:val="Heading2"/>
      </w:pPr>
      <w:r>
        <w:t xml:space="preserve">2. Supplier (Seller)</w:t>
      </w:r>
    </w:p>
    <w:p>
      <w:pPr>
        <w:pStyle w:val="FirstParagraph"/>
      </w:pPr>
      <w:r>
        <w:t xml:space="preserve">Company Name:</w:t>
      </w:r>
      <w:r>
        <w:t xml:space="preserve"> </w:t>
      </w:r>
      <w:r>
        <w:t xml:space="preserve">FinTech Solutions Brasil Ltda.</w:t>
      </w:r>
    </w:p>
    <w:p>
      <w:pPr>
        <w:pStyle w:val="BodyText"/>
      </w:pPr>
      <w:r>
        <w:t xml:space="preserve">CNPJ:</w:t>
      </w:r>
      <w:r>
        <w:t xml:space="preserve"> </w:t>
      </w:r>
      <w:r>
        <w:t xml:space="preserve">98.765.432/0001-10</w:t>
      </w:r>
    </w:p>
    <w:p>
      <w:pPr>
        <w:pStyle w:val="BodyText"/>
      </w:pPr>
      <w:r>
        <w:t xml:space="preserve">Address:</w:t>
      </w:r>
      <w:r>
        <w:t xml:space="preserve"> </w:t>
      </w:r>
      <w:r>
        <w:t xml:space="preserve">Rua Oscar Freire, 890, Conj. 72, Jardins</w:t>
      </w:r>
    </w:p>
    <w:p>
      <w:pPr>
        <w:pStyle w:val="BodyText"/>
      </w:pPr>
      <w:r>
        <w:t xml:space="preserve">City/State/CEP:</w:t>
      </w:r>
      <w:r>
        <w:t xml:space="preserve"> </w:t>
      </w:r>
      <w:r>
        <w:t xml:space="preserve">São Paulo, SP — 01426-001, Brazil</w:t>
      </w:r>
    </w:p>
    <w:p>
      <w:pPr>
        <w:pStyle w:val="BodyText"/>
      </w:pPr>
      <w:r>
        <w:t xml:space="preserve">Contact Person:</w:t>
      </w:r>
      <w:r>
        <w:t xml:space="preserve"> </w:t>
      </w:r>
      <w:r>
        <w:t xml:space="preserve">Dr. Henrique Vasconcelos, Account Director</w:t>
      </w:r>
    </w:p>
    <w:p>
      <w:pPr>
        <w:pStyle w:val="BodyText"/>
      </w:pPr>
      <w:r>
        <w:t xml:space="preserve">Email:</w:t>
      </w:r>
      <w:r>
        <w:t xml:space="preserve"> </w:t>
      </w:r>
      <w:r>
        <w:t xml:space="preserve">h.vasconcelos@fintechsolutionsbr.com</w:t>
      </w:r>
    </w:p>
    <w:p>
      <w:pPr>
        <w:pStyle w:val="BodyText"/>
      </w:pPr>
      <w:r>
        <w:t xml:space="preserve">Phone:</w:t>
      </w:r>
      <w:r>
        <w:t xml:space="preserve"> </w:t>
      </w:r>
      <w:r>
        <w:t xml:space="preserve">+55 (11) 98765-4321</w:t>
      </w:r>
    </w:p>
    <w:p>
      <w:pPr>
        <w:pStyle w:val="BodyText"/>
      </w:pPr>
      <w:r>
        <w:t xml:space="preserve">Inscription:</w:t>
      </w:r>
      <w:r>
        <w:t xml:space="preserve"> </w:t>
      </w:r>
      <w:r>
        <w:t xml:space="preserve">JUCESP 12.345.678-001</w:t>
      </w:r>
    </w:p>
    <w:bookmarkEnd w:id="22"/>
    <w:bookmarkStart w:id="23" w:name="Xe611f73e74a2a248ad847ffe6cc8324d0bf40ed"/>
    <w:p>
      <w:pPr>
        <w:pStyle w:val="Heading2"/>
      </w:pPr>
      <w:r>
        <w:t xml:space="preserve">3. Description of Goods and Services — Banker Operations Package</w:t>
      </w:r>
    </w:p>
    <w:p>
      <w:pPr>
        <w:pStyle w:val="FirstParagraph"/>
      </w:pPr>
      <w:r>
        <w:t xml:space="preserve">This Purchase Order is issued to procure the following banking infrastructure, professional banker services, and compliance tools required for the operational expansion of Banco Meridional S.A.'s São Paulo branch. All items are specifically tailored to support the daily activities of senior bankers, relationship managers, and compliance officers operating within the metropolitan region of São Paulo, Brazil.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 / Deadline</w:t>
            </w:r>
          </w:p>
        </w:tc>
      </w:tr>
      <w:tr>
        <w:tc>
          <w:tcPr/>
          <w:p>
            <w:pPr>
              <w:pStyle w:val="Compact"/>
              <w:jc w:val="left"/>
            </w:pPr>
            <w:r>
              <w:t xml:space="preserve">01</w:t>
            </w:r>
          </w:p>
        </w:tc>
        <w:tc>
          <w:tcPr/>
          <w:p>
            <w:pPr>
              <w:pStyle w:val="Compact"/>
              <w:jc w:val="left"/>
            </w:pPr>
            <w:r>
              <w:t xml:space="preserve">Enterprise Banking Workstation Suite — 24-inch 4K monitors, dual-processor workstations, and encrypted terminals for 15 senior bankers at the São Paulo headquarters</w:t>
            </w:r>
          </w:p>
        </w:tc>
        <w:tc>
          <w:tcPr/>
          <w:p>
            <w:pPr>
              <w:pStyle w:val="Compact"/>
              <w:jc w:val="left"/>
            </w:pPr>
            <w:r>
              <w:t xml:space="preserve">15</w:t>
            </w:r>
          </w:p>
        </w:tc>
        <w:tc>
          <w:tcPr/>
          <w:p>
            <w:pPr>
              <w:pStyle w:val="Compact"/>
              <w:jc w:val="left"/>
            </w:pPr>
            <w:r>
              <w:t xml:space="preserve">R$ 18.500,00</w:t>
            </w:r>
          </w:p>
        </w:tc>
        <w:tc>
          <w:tcPr/>
          <w:p>
            <w:pPr>
              <w:pStyle w:val="Compact"/>
              <w:jc w:val="left"/>
            </w:pPr>
            <w:r>
              <w:t xml:space="preserve">R$ 277.500,00</w:t>
            </w:r>
          </w:p>
        </w:tc>
        <w:tc>
          <w:tcPr/>
          <w:p>
            <w:pPr>
              <w:pStyle w:val="Compact"/>
              <w:jc w:val="left"/>
            </w:pPr>
            <w:r>
              <w:t xml:space="preserve">30 June 2025</w:t>
            </w:r>
          </w:p>
        </w:tc>
      </w:tr>
      <w:tr>
        <w:tc>
          <w:tcPr/>
          <w:p>
            <w:pPr>
              <w:pStyle w:val="Compact"/>
              <w:jc w:val="left"/>
            </w:pPr>
            <w:r>
              <w:t xml:space="preserve">02</w:t>
            </w:r>
          </w:p>
        </w:tc>
        <w:tc>
          <w:tcPr/>
          <w:p>
            <w:pPr>
              <w:pStyle w:val="Compact"/>
              <w:jc w:val="left"/>
            </w:pPr>
            <w:r>
              <w:t xml:space="preserve">Banker Compliance &amp; AML Software License (annual) — KYC verification, transaction monitoring, and BACEN regulatory reporting module for São Paulo operations</w:t>
            </w:r>
          </w:p>
        </w:tc>
        <w:tc>
          <w:tcPr/>
          <w:p>
            <w:pPr>
              <w:pStyle w:val="Compact"/>
              <w:jc w:val="left"/>
            </w:pPr>
            <w:r>
              <w:t xml:space="preserve">1</w:t>
            </w:r>
          </w:p>
        </w:tc>
        <w:tc>
          <w:tcPr/>
          <w:p>
            <w:pPr>
              <w:pStyle w:val="Compact"/>
              <w:jc w:val="left"/>
            </w:pPr>
            <w:r>
              <w:t xml:space="preserve">R$ 342.000,00</w:t>
            </w:r>
          </w:p>
        </w:tc>
        <w:tc>
          <w:tcPr/>
          <w:p>
            <w:pPr>
              <w:pStyle w:val="Compact"/>
              <w:jc w:val="left"/>
            </w:pPr>
            <w:r>
              <w:t xml:space="preserve">R$ 342.000,00</w:t>
            </w:r>
          </w:p>
        </w:tc>
        <w:tc>
          <w:tcPr/>
          <w:p>
            <w:pPr>
              <w:pStyle w:val="Compact"/>
              <w:jc w:val="left"/>
            </w:pPr>
            <w:r>
              <w:t xml:space="preserve">15 July 2025</w:t>
            </w:r>
          </w:p>
        </w:tc>
      </w:tr>
      <w:tr>
        <w:tc>
          <w:tcPr/>
          <w:p>
            <w:pPr>
              <w:pStyle w:val="Compact"/>
              <w:jc w:val="left"/>
            </w:pPr>
            <w:r>
              <w:t xml:space="preserve">03</w:t>
            </w:r>
          </w:p>
        </w:tc>
        <w:tc>
          <w:tcPr/>
          <w:p>
            <w:pPr>
              <w:pStyle w:val="Compact"/>
              <w:jc w:val="left"/>
            </w:pPr>
            <w:r>
              <w:t xml:space="preserve">Professional Banker Training Program — 40-hour certified course on Brazilian Central Bank (BACEN) regulations, LGPD data protection, and São Paulo financial district market strategies</w:t>
            </w:r>
          </w:p>
        </w:tc>
        <w:tc>
          <w:tcPr/>
          <w:p>
            <w:pPr>
              <w:pStyle w:val="Compact"/>
              <w:jc w:val="left"/>
            </w:pPr>
            <w:r>
              <w:t xml:space="preserve">25</w:t>
            </w:r>
          </w:p>
        </w:tc>
        <w:tc>
          <w:tcPr/>
          <w:p>
            <w:pPr>
              <w:pStyle w:val="Compact"/>
              <w:jc w:val="left"/>
            </w:pPr>
            <w:r>
              <w:t xml:space="preserve">R$ 4.200,00</w:t>
            </w:r>
          </w:p>
        </w:tc>
        <w:tc>
          <w:tcPr/>
          <w:p>
            <w:pPr>
              <w:pStyle w:val="Compact"/>
              <w:jc w:val="left"/>
            </w:pPr>
            <w:r>
              <w:t xml:space="preserve">R$ 105.000,00</w:t>
            </w:r>
          </w:p>
        </w:tc>
        <w:tc>
          <w:tcPr/>
          <w:p>
            <w:pPr>
              <w:pStyle w:val="Compact"/>
              <w:jc w:val="left"/>
            </w:pPr>
            <w:r>
              <w:t xml:space="preserve">August 2025</w:t>
            </w:r>
          </w:p>
        </w:tc>
      </w:tr>
      <w:tr>
        <w:tc>
          <w:tcPr/>
          <w:p>
            <w:pPr>
              <w:pStyle w:val="Compact"/>
              <w:jc w:val="left"/>
            </w:pPr>
            <w:r>
              <w:t xml:space="preserve">04</w:t>
            </w:r>
          </w:p>
        </w:tc>
        <w:tc>
          <w:tcPr/>
          <w:p>
            <w:pPr>
              <w:pStyle w:val="Compact"/>
              <w:jc w:val="left"/>
            </w:pPr>
            <w:r>
              <w:t xml:space="preserve">Secure Communication Infrastructure — Encrypted VoIP and video-conferencing system for banker-client meetings across São Paulo branch offices</w:t>
            </w:r>
          </w:p>
        </w:tc>
        <w:tc>
          <w:tcPr/>
          <w:p>
            <w:pPr>
              <w:pStyle w:val="Compact"/>
              <w:jc w:val="left"/>
            </w:pPr>
            <w:r>
              <w:t xml:space="preserve">1</w:t>
            </w:r>
          </w:p>
        </w:tc>
        <w:tc>
          <w:tcPr/>
          <w:p>
            <w:pPr>
              <w:pStyle w:val="Compact"/>
              <w:jc w:val="left"/>
            </w:pPr>
            <w:r>
              <w:t xml:space="preserve">R$ 198.750,00</w:t>
            </w:r>
          </w:p>
        </w:tc>
        <w:tc>
          <w:tcPr/>
          <w:p>
            <w:pPr>
              <w:pStyle w:val="Compact"/>
              <w:jc w:val="left"/>
            </w:pPr>
            <w:r>
              <w:t xml:space="preserve">R$ 198.750,00</w:t>
            </w:r>
          </w:p>
        </w:tc>
        <w:tc>
          <w:tcPr/>
          <w:p>
            <w:pPr>
              <w:pStyle w:val="Compact"/>
              <w:jc w:val="left"/>
            </w:pPr>
            <w:r>
              <w:t xml:space="preserve">20 July 2025</w:t>
            </w:r>
          </w:p>
        </w:tc>
      </w:tr>
      <w:tr>
        <w:tc>
          <w:tcPr/>
          <w:p>
            <w:pPr>
              <w:pStyle w:val="Compact"/>
              <w:jc w:val="left"/>
            </w:pPr>
            <w:r>
              <w:t xml:space="preserve">05</w:t>
            </w:r>
          </w:p>
        </w:tc>
        <w:tc>
          <w:tcPr/>
          <w:p>
            <w:pPr>
              <w:pStyle w:val="Compact"/>
              <w:jc w:val="left"/>
            </w:pPr>
            <w:r>
              <w:t xml:space="preserve">Banker Desk Ergonomic Furniture Package — Executive chairs, standing desks, and document management systems for 15 banker workstations</w:t>
            </w:r>
          </w:p>
        </w:tc>
        <w:tc>
          <w:tcPr/>
          <w:p>
            <w:pPr>
              <w:pStyle w:val="Compact"/>
              <w:jc w:val="left"/>
            </w:pPr>
            <w:r>
              <w:t xml:space="preserve">15</w:t>
            </w:r>
          </w:p>
        </w:tc>
        <w:tc>
          <w:tcPr/>
          <w:p>
            <w:pPr>
              <w:pStyle w:val="Compact"/>
              <w:jc w:val="left"/>
            </w:pPr>
            <w:r>
              <w:t xml:space="preserve">R$ 6.800,00</w:t>
            </w:r>
          </w:p>
        </w:tc>
        <w:tc>
          <w:tcPr/>
          <w:p>
            <w:pPr>
              <w:pStyle w:val="Compact"/>
              <w:jc w:val="left"/>
            </w:pPr>
            <w:r>
              <w:t xml:space="preserve">R$ 102.000,00</w:t>
            </w:r>
          </w:p>
        </w:tc>
        <w:tc>
          <w:tcPr/>
          <w:p>
            <w:pPr>
              <w:pStyle w:val="Compact"/>
              <w:jc w:val="left"/>
            </w:pPr>
            <w:r>
              <w:t xml:space="preserve">30 June 2025</w:t>
            </w:r>
          </w:p>
        </w:tc>
      </w:tr>
      <w:tr>
        <w:tc>
          <w:tcPr/>
          <w:p>
            <w:pPr>
              <w:pStyle w:val="Compact"/>
              <w:jc w:val="left"/>
            </w:pPr>
            <w:r>
              <w:t xml:space="preserve">06</w:t>
            </w:r>
          </w:p>
        </w:tc>
        <w:tc>
          <w:tcPr/>
          <w:p>
            <w:pPr>
              <w:pStyle w:val="Compact"/>
              <w:jc w:val="left"/>
            </w:pPr>
            <w:r>
              <w:t xml:space="preserve">Biometric Access Control System — Fingerprint and facial recognition entry for the restricted banker-only floor (12º Andar, Av. Paulista)</w:t>
            </w:r>
          </w:p>
        </w:tc>
        <w:tc>
          <w:tcPr/>
          <w:p>
            <w:pPr>
              <w:pStyle w:val="Compact"/>
              <w:jc w:val="left"/>
            </w:pPr>
            <w:r>
              <w:t xml:space="preserve">1</w:t>
            </w:r>
          </w:p>
        </w:tc>
        <w:tc>
          <w:tcPr/>
          <w:p>
            <w:pPr>
              <w:pStyle w:val="Compact"/>
              <w:jc w:val="left"/>
            </w:pPr>
            <w:r>
              <w:t xml:space="preserve">R$ 87.400,00</w:t>
            </w:r>
          </w:p>
        </w:tc>
        <w:tc>
          <w:tcPr/>
          <w:p>
            <w:pPr>
              <w:pStyle w:val="Compact"/>
              <w:jc w:val="left"/>
            </w:pPr>
            <w:r>
              <w:t xml:space="preserve">R$ 87.400,00</w:t>
            </w:r>
          </w:p>
        </w:tc>
        <w:tc>
          <w:tcPr/>
          <w:p>
            <w:pPr>
              <w:pStyle w:val="Compact"/>
              <w:jc w:val="left"/>
            </w:pPr>
            <w:r>
              <w:t xml:space="preserve">10 July 2025</w:t>
            </w:r>
          </w:p>
        </w:tc>
      </w:tr>
      <w:tr>
        <w:tc>
          <w:tcPr/>
          <w:p>
            <w:pPr>
              <w:pStyle w:val="Compact"/>
              <w:jc w:val="left"/>
            </w:pPr>
            <w:r>
              <w:t xml:space="preserve">07</w:t>
            </w:r>
          </w:p>
        </w:tc>
        <w:tc>
          <w:tcPr/>
          <w:p>
            <w:pPr>
              <w:pStyle w:val="Compact"/>
              <w:jc w:val="left"/>
            </w:pPr>
            <w:r>
              <w:t xml:space="preserve">Annual IT Support &amp; Maintenance Contract for all banker workstations and banking systems in São Paulo</w:t>
            </w:r>
          </w:p>
        </w:tc>
        <w:tc>
          <w:tcPr/>
          <w:p>
            <w:pPr>
              <w:pStyle w:val="Compact"/>
              <w:jc w:val="left"/>
            </w:pPr>
            <w:r>
              <w:t xml:space="preserve">1</w:t>
            </w:r>
          </w:p>
        </w:tc>
        <w:tc>
          <w:tcPr/>
          <w:p>
            <w:pPr>
              <w:pStyle w:val="Compact"/>
              <w:jc w:val="left"/>
            </w:pPr>
            <w:r>
              <w:t xml:space="preserve">R$ 156.000,00</w:t>
            </w:r>
          </w:p>
        </w:tc>
        <w:tc>
          <w:tcPr/>
          <w:p>
            <w:pPr>
              <w:pStyle w:val="Compact"/>
              <w:jc w:val="left"/>
            </w:pPr>
            <w:r>
              <w:t xml:space="preserve">R$ 156.000,00</w:t>
            </w:r>
          </w:p>
        </w:tc>
        <w:tc>
          <w:tcPr/>
          <w:p>
            <w:pPr>
              <w:pStyle w:val="Compact"/>
              <w:jc w:val="left"/>
            </w:pPr>
            <w:r>
              <w:t xml:space="preserve">Continuous (12 months)</w:t>
            </w:r>
          </w:p>
        </w:tc>
      </w:tr>
      <w:tr>
        <w:tc>
          <w:tcPr>
            <w:gridSpan w:val="4"/>
          </w:tcPr>
          <w:p>
            <w:pPr>
              <w:pStyle w:val="Compact"/>
              <w:jc w:val="right"/>
            </w:pPr>
            <w:r>
              <w:t xml:space="preserve">GRAND TOTAL (BRL)</w:t>
            </w:r>
          </w:p>
        </w:tc>
        <w:tc>
          <w:tcPr/>
          <w:p>
            <w:pPr>
              <w:pStyle w:val="Compact"/>
              <w:jc w:val="left"/>
            </w:pPr>
            <w:r>
              <w:t xml:space="preserve">R$ 1.268.650,00</w:t>
            </w:r>
          </w:p>
        </w:tc>
        <w:tc>
          <w:tcPr/>
          <w:p>
            <w:pPr>
              <w:pStyle w:val="Compact"/>
            </w:pPr>
          </w:p>
        </w:tc>
      </w:tr>
      <w:tr>
        <w:tc>
          <w:tcPr>
            <w:gridSpan w:val="4"/>
          </w:tcPr>
          <w:p>
            <w:pPr>
              <w:pStyle w:val="Compact"/>
              <w:jc w:val="right"/>
            </w:pPr>
            <w:r>
              <w:t xml:space="preserve">ICMS (18%) — São Paulo State Tax</w:t>
            </w:r>
          </w:p>
        </w:tc>
        <w:tc>
          <w:tcPr/>
          <w:p>
            <w:pPr>
              <w:pStyle w:val="Compact"/>
              <w:jc w:val="left"/>
            </w:pPr>
            <w:r>
              <w:t xml:space="preserve">R$ 228.357,00</w:t>
            </w:r>
          </w:p>
        </w:tc>
        <w:tc>
          <w:tcPr/>
          <w:p>
            <w:pPr>
              <w:pStyle w:val="Compact"/>
            </w:pPr>
          </w:p>
        </w:tc>
      </w:tr>
      <w:tr>
        <w:tc>
          <w:tcPr>
            <w:gridSpan w:val="4"/>
          </w:tcPr>
          <w:p>
            <w:pPr>
              <w:pStyle w:val="Compact"/>
              <w:jc w:val="right"/>
            </w:pPr>
            <w:r>
              <w:t xml:space="preserve">TOTAL WITH TAXES (BRL)</w:t>
            </w:r>
          </w:p>
        </w:tc>
        <w:tc>
          <w:tcPr/>
          <w:p>
            <w:pPr>
              <w:pStyle w:val="Compact"/>
              <w:jc w:val="left"/>
            </w:pPr>
            <w:r>
              <w:t xml:space="preserve">R$ 1.497.007,00</w:t>
            </w: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shall be made via TED (Transferência Eletrônica Disponível) or PIX to the supplier's account within 30 (thirty) calendar days from the date of invoice issuance, in accordance with Brazilian commercial law (Código Civil Brasileiro, Art. 536 et seq.).</w:t>
      </w:r>
    </w:p>
    <w:p>
      <w:pPr>
        <w:numPr>
          <w:ilvl w:val="0"/>
          <w:numId w:val="1001"/>
        </w:numPr>
        <w:pStyle w:val="Compact"/>
      </w:pPr>
      <w:r>
        <w:rPr>
          <w:bCs/>
          <w:b/>
        </w:rPr>
        <w:t xml:space="preserve">Delivery Location:</w:t>
      </w:r>
      <w:r>
        <w:t xml:space="preserve"> </w:t>
      </w:r>
      <w:r>
        <w:t xml:space="preserve">All physical goods shall be delivered to Banco Meridional S.A., Av. Paulista, 1.578, 12º Andar, Bela Vista, São Paulo, SP, CEP 01310-100, Brazil. Delivery hours: Monday to Friday, 08:00 to 17:00 BRT (Brasília Time).</w:t>
      </w:r>
    </w:p>
    <w:p>
      <w:pPr>
        <w:numPr>
          <w:ilvl w:val="0"/>
          <w:numId w:val="1001"/>
        </w:numPr>
        <w:pStyle w:val="Compact"/>
      </w:pPr>
      <w:r>
        <w:rPr>
          <w:bCs/>
          <w:b/>
        </w:rPr>
        <w:t xml:space="preserve">Regulatory Compliance:</w:t>
      </w:r>
      <w:r>
        <w:t xml:space="preserve"> </w:t>
      </w:r>
      <w:r>
        <w:t xml:space="preserve">All software and services procured under this Purchase Order must comply with BACEN (Banco Central do Brasil) regulations, LGPD (Lei Geral de Proteção de Dados — Lei nº 13.709/2018), and applicable São Paulo municipal ordinances governing financial institutions.</w:t>
      </w:r>
    </w:p>
    <w:p>
      <w:pPr>
        <w:numPr>
          <w:ilvl w:val="0"/>
          <w:numId w:val="1001"/>
        </w:numPr>
        <w:pStyle w:val="Compact"/>
      </w:pPr>
      <w:r>
        <w:rPr>
          <w:bCs/>
          <w:b/>
        </w:rPr>
        <w:t xml:space="preserve">Banker Confidentiality:</w:t>
      </w:r>
      <w:r>
        <w:t xml:space="preserve"> </w:t>
      </w:r>
      <w:r>
        <w:t xml:space="preserve">The supplier acknowledges that all data, client information, and operational details shared during the execution of this Purchase Order are subject to strict banker confidentiality obligations under Brazilian banking secrecy law (Lei nº 4.595/1964, Art. 10).</w:t>
      </w:r>
    </w:p>
    <w:p>
      <w:pPr>
        <w:numPr>
          <w:ilvl w:val="0"/>
          <w:numId w:val="1001"/>
        </w:numPr>
        <w:pStyle w:val="Compact"/>
      </w:pPr>
      <w:r>
        <w:rPr>
          <w:bCs/>
          <w:b/>
        </w:rPr>
        <w:t xml:space="preserve">Warranty:</w:t>
      </w:r>
      <w:r>
        <w:t xml:space="preserve"> </w:t>
      </w:r>
      <w:r>
        <w:t xml:space="preserve">All hardware items carry a minimum 24-month manufacturer warranty. Software licenses include 12 months of technical support and updates. Warranty claims shall be processed at the supplier's São Paulo service center.</w:t>
      </w:r>
    </w:p>
    <w:p>
      <w:pPr>
        <w:numPr>
          <w:ilvl w:val="0"/>
          <w:numId w:val="1001"/>
        </w:numPr>
        <w:pStyle w:val="Compact"/>
      </w:pPr>
      <w:r>
        <w:rPr>
          <w:bCs/>
          <w:b/>
        </w:rPr>
        <w:t xml:space="preserve">Penalties for Delay:</w:t>
      </w:r>
      <w:r>
        <w:t xml:space="preserve"> </w:t>
      </w:r>
      <w:r>
        <w:t xml:space="preserve">In the event of delayed delivery, the supplier shall pay a penalty of 0.5% per calendar day of delay on the value of the affected items, capped at 10% of the total Purchase Order value, as per Brazilian Civil Code provisions.</w:t>
      </w:r>
    </w:p>
    <w:p>
      <w:pPr>
        <w:numPr>
          <w:ilvl w:val="0"/>
          <w:numId w:val="1001"/>
        </w:numPr>
        <w:pStyle w:val="Compact"/>
      </w:pPr>
      <w:r>
        <w:rPr>
          <w:bCs/>
          <w:b/>
        </w:rPr>
        <w:t xml:space="preserve">Governing Law:</w:t>
      </w:r>
      <w:r>
        <w:t xml:space="preserve"> </w:t>
      </w:r>
      <w:r>
        <w:t xml:space="preserve">This Purchase Order shall be governed by the laws of the Federative Republic of Brazil. Any disputes shall be resolved by the competent courts of the city of São Paulo, State of São Paulo, Brazil, or by arbitration at CAM-SP (Câmara de Arbitragem do Mercado de São Paulo).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São Paulo metropolitan area, government-mandated closures, or BACEN regulatory suspensions.</w:t>
      </w:r>
    </w:p>
    <w:p>
      <w:pPr>
        <w:numPr>
          <w:ilvl w:val="0"/>
          <w:numId w:val="1001"/>
        </w:numPr>
        <w:pStyle w:val="Compact"/>
      </w:pPr>
      <w:r>
        <w:rPr>
          <w:bCs/>
          <w:b/>
        </w:rPr>
        <w:t xml:space="preserve">Validity:</w:t>
      </w:r>
      <w:r>
        <w:t xml:space="preserve"> </w:t>
      </w:r>
      <w:r>
        <w:t xml:space="preserve">This Purchase Order is valid for acceptance within 10 (ten) business days from the date of issue. Failure to confirm acceptance within this period shall render this document null and void.</w:t>
      </w:r>
    </w:p>
    <w:bookmarkEnd w:id="24"/>
    <w:p>
      <w:pPr>
        <w:pStyle w:val="FirstParagraph"/>
      </w:pPr>
      <w:r>
        <w:rPr>
          <w:bCs/>
          <w:b/>
        </w:rPr>
        <w:t xml:space="preserve">IMPORTANT NOTICE:</w:t>
      </w:r>
      <w:r>
        <w:t xml:space="preserve"> </w:t>
      </w:r>
      <w:r>
        <w:t xml:space="preserve">This Purchase Order pertains exclusively to the procurement of banking infrastructure and professional banker services for operations within the city of São Paulo, State of São Paulo, Federative Republic of Brazil. All transactions are denominated in Brazilian Reais (BRL) and subject to the tax regime of the State of São Paulo (ICMS) and federal regulations (IPI, PIS, COFINS). The supplier must present a valid CNPJ and proof of registration with the Junta Comercial do Estado de São Paulo (JUCESP) prior to contract execution.</w:t>
      </w:r>
    </w:p>
    <w:bookmarkStart w:id="25" w:name="acceptance-and-authorization"/>
    <w:p>
      <w:pPr>
        <w:pStyle w:val="Heading2"/>
      </w:pPr>
      <w:r>
        <w:t xml:space="preserve">5. Acceptance and Authorization</w:t>
      </w:r>
    </w:p>
    <w:p>
      <w:pPr>
        <w:pStyle w:val="FirstParagraph"/>
      </w:pPr>
      <w:r>
        <w:t xml:space="preserve">By signing below, both parties confirm their agreement to the terms, conditions, and specifications outlined in this Purchase Order for the procurement of banker services and banking infrastructure in São Paulo, Brazil.</w:t>
      </w:r>
    </w:p>
    <w:bookmarkEnd w:id="25"/>
    <w:p>
      <w:pPr>
        <w:pStyle w:val="BodyText"/>
      </w:pPr>
      <w:r>
        <w:rPr>
          <w:bCs/>
          <w:b/>
        </w:rPr>
        <w:t xml:space="preserve">Ricardo Almeida Ferreira</w:t>
      </w:r>
      <w:r>
        <w:br/>
      </w:r>
      <w:r>
        <w:t xml:space="preserve">Chief Operations Officer</w:t>
      </w:r>
      <w:r>
        <w:br/>
      </w:r>
      <w:r>
        <w:t xml:space="preserve">Banco Meridional S.A. — São Paulo</w:t>
      </w:r>
      <w:r>
        <w:br/>
      </w:r>
      <w:r>
        <w:t xml:space="preserve">CNPJ: 12.345.678/0001-90</w:t>
      </w:r>
      <w:r>
        <w:br/>
      </w:r>
      <w:r>
        <w:t xml:space="preserve">Date: _______________</w:t>
      </w:r>
    </w:p>
    <w:p>
      <w:pPr>
        <w:pStyle w:val="BodyText"/>
      </w:pPr>
      <w:r>
        <w:rPr>
          <w:bCs/>
          <w:b/>
        </w:rPr>
        <w:t xml:space="preserve">Dr. Henrique Vasconcelos</w:t>
      </w:r>
      <w:r>
        <w:br/>
      </w:r>
      <w:r>
        <w:t xml:space="preserve">Account Director</w:t>
      </w:r>
      <w:r>
        <w:br/>
      </w:r>
      <w:r>
        <w:t xml:space="preserve">FinTech Solutions Brasil Ltda.</w:t>
      </w:r>
      <w:r>
        <w:br/>
      </w:r>
      <w:r>
        <w:t xml:space="preserve">CNPJ: 98.765.432/0001-10</w:t>
      </w:r>
      <w:r>
        <w:br/>
      </w:r>
      <w:r>
        <w:t xml:space="preserve">Date: _______________</w:t>
      </w:r>
    </w:p>
    <w:p>
      <w:pPr>
        <w:pStyle w:val="BodyText"/>
      </w:pPr>
      <w:r>
        <w:t xml:space="preserve">Purchase Order PO-2025-SP-04872 | Banco Meridional S.A. — São Paulo, Brazil | Page 1 of 1</w:t>
      </w:r>
    </w:p>
    <w:p>
      <w:pPr>
        <w:pStyle w:val="BodyText"/>
      </w:pPr>
      <w:r>
        <w:t xml:space="preserve">This document is electronically generated and valid without physical signature in accordance with Lei nº 14.063/2020 (MP 2.200-2/2001). For inquiries, contact the Procurement Department at +55 (11)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São Paulo, Brazil</dc:title>
  <dc:creator/>
  <dc:language>en</dc:language>
  <cp:keywords/>
  <dcterms:created xsi:type="dcterms:W3CDTF">2026-10-10T02:03:17Z</dcterms:created>
  <dcterms:modified xsi:type="dcterms:W3CDTF">2026-10-10T02:03:17Z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