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Banker Advisory &amp; Financial Services Procurement Document</w:t>
      </w:r>
    </w:p>
    <w:p>
      <w:pPr>
        <w:pStyle w:val="BodyText"/>
      </w:pPr>
      <w:r>
        <w:t xml:space="preserve">CANADA TORONTO</w:t>
      </w:r>
      <w:r>
        <w:t xml:space="preserve"> </w:t>
      </w:r>
      <w:r>
        <w:t xml:space="preserve"> |  Issued Under the Commercial Sales Act (Ontario)</w:t>
      </w:r>
    </w:p>
    <w:bookmarkEnd w:id="20"/>
    <w:p>
      <w:pPr>
        <w:pStyle w:val="BodyText"/>
      </w:pPr>
      <w:r>
        <w:rPr>
          <w:bCs/>
          <w:b/>
        </w:rPr>
        <w:t xml:space="preserve">Purchase Order No.:</w:t>
      </w:r>
      <w:r>
        <w:t xml:space="preserve"> </w:t>
      </w:r>
      <w:r>
        <w:t xml:space="preserve">PO-2025-TOR-04872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Governing Jurisdiction:</w:t>
      </w:r>
      <w:r>
        <w:t xml:space="preserve"> </w:t>
      </w:r>
      <w:r>
        <w:t xml:space="preserve">Province of Ontario, Canada</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Maple Ridge Corporate Holdings Inc.</w:t>
            </w:r>
          </w:p>
        </w:tc>
        <w:tc>
          <w:tcPr/>
          <w:p>
            <w:pPr>
              <w:pStyle w:val="Compact"/>
              <w:jc w:val="left"/>
            </w:pPr>
            <w:r>
              <w:rPr>
                <w:bCs/>
                <w:b/>
              </w:rPr>
              <w:t xml:space="preserve">Business Number (BN):</w:t>
            </w:r>
            <w:r>
              <w:t xml:space="preserve"> </w:t>
            </w:r>
            <w:r>
              <w:t xml:space="preserve">123456789RT0001</w:t>
            </w:r>
          </w:p>
        </w:tc>
      </w:tr>
      <w:tr>
        <w:tc>
          <w:tcPr/>
          <w:p>
            <w:pPr>
              <w:pStyle w:val="Compact"/>
              <w:jc w:val="left"/>
            </w:pPr>
            <w:r>
              <w:rPr>
                <w:bCs/>
                <w:b/>
              </w:rPr>
              <w:t xml:space="preserve">Address:</w:t>
            </w:r>
            <w:r>
              <w:t xml:space="preserve"> </w:t>
            </w:r>
            <w:r>
              <w:t xml:space="preserve">250 Bloor Street West, Suite 1400, Toronto, Ontario, Canada, M5S 1V2</w:t>
            </w:r>
          </w:p>
        </w:tc>
        <w:tc>
          <w:tcPr/>
          <w:p>
            <w:pPr>
              <w:pStyle w:val="Compact"/>
              <w:jc w:val="left"/>
            </w:pPr>
            <w:r>
              <w:rPr>
                <w:bCs/>
                <w:b/>
              </w:rPr>
              <w:t xml:space="preserve">Contact:</w:t>
            </w:r>
            <w:r>
              <w:t xml:space="preserve"> </w:t>
            </w:r>
            <w:r>
              <w:t xml:space="preserve">Margaret Chen, Procurement Director</w:t>
            </w:r>
          </w:p>
        </w:tc>
      </w:tr>
      <w:tr>
        <w:tc>
          <w:tcPr/>
          <w:p>
            <w:pPr>
              <w:pStyle w:val="Compact"/>
              <w:jc w:val="left"/>
            </w:pPr>
            <w:r>
              <w:rPr>
                <w:bCs/>
                <w:b/>
              </w:rPr>
              <w:t xml:space="preserve">Phone:</w:t>
            </w:r>
            <w:r>
              <w:t xml:space="preserve"> </w:t>
            </w:r>
            <w:r>
              <w:t xml:space="preserve">+1 (416) 555-0198</w:t>
            </w:r>
          </w:p>
        </w:tc>
        <w:tc>
          <w:tcPr/>
          <w:p>
            <w:pPr>
              <w:pStyle w:val="Compact"/>
              <w:jc w:val="left"/>
            </w:pPr>
            <w:r>
              <w:rPr>
                <w:bCs/>
                <w:b/>
              </w:rPr>
              <w:t xml:space="preserve">Email:</w:t>
            </w:r>
            <w:r>
              <w:t xml:space="preserve"> </w:t>
            </w:r>
            <w:r>
              <w:t xml:space="preserve">m.chen@mapleridgecorp.ca</w:t>
            </w:r>
          </w:p>
        </w:tc>
      </w:tr>
    </w:tbl>
    <w:p>
      <w:pPr>
        <w:pStyle w:val="BodyText"/>
      </w:pPr>
      <w:r>
        <w:t xml:space="preserve">Supplier / Banker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Banker Name:</w:t>
            </w:r>
            <w:r>
              <w:t xml:space="preserve"> </w:t>
            </w:r>
            <w:r>
              <w:t xml:space="preserve">Jonathan A. Whitfield, CFA, CFP</w:t>
            </w:r>
          </w:p>
        </w:tc>
        <w:tc>
          <w:tcPr/>
          <w:p>
            <w:pPr>
              <w:pStyle w:val="Compact"/>
              <w:jc w:val="left"/>
            </w:pPr>
            <w:r>
              <w:rPr>
                <w:bCs/>
                <w:b/>
              </w:rPr>
              <w:t xml:space="preserve">Professional License No.:</w:t>
            </w:r>
            <w:r>
              <w:t xml:space="preserve"> </w:t>
            </w:r>
            <w:r>
              <w:t xml:space="preserve">ON-BNK-2024-77831</w:t>
            </w:r>
          </w:p>
        </w:tc>
      </w:tr>
      <w:tr>
        <w:tc>
          <w:tcPr/>
          <w:p>
            <w:pPr>
              <w:pStyle w:val="Compact"/>
              <w:jc w:val="left"/>
            </w:pPr>
            <w:r>
              <w:rPr>
                <w:bCs/>
                <w:b/>
              </w:rPr>
              <w:t xml:space="preserve">Firm:</w:t>
            </w:r>
            <w:r>
              <w:t xml:space="preserve"> </w:t>
            </w:r>
            <w:r>
              <w:t xml:space="preserve">Whitfield &amp; Associates Banking Advisory Group</w:t>
            </w:r>
          </w:p>
        </w:tc>
        <w:tc>
          <w:tcPr/>
          <w:p>
            <w:pPr>
              <w:pStyle w:val="Compact"/>
              <w:jc w:val="left"/>
            </w:pPr>
            <w:r>
              <w:rPr>
                <w:bCs/>
                <w:b/>
              </w:rPr>
              <w:t xml:space="preserve">Address:</w:t>
            </w:r>
            <w:r>
              <w:t xml:space="preserve"> </w:t>
            </w:r>
            <w:r>
              <w:t xml:space="preserve">100 King Street West, Suite 2200, Toronto, Ontario, Canada, M5X 1A9</w:t>
            </w:r>
          </w:p>
        </w:tc>
      </w:tr>
      <w:tr>
        <w:tc>
          <w:tcPr/>
          <w:p>
            <w:pPr>
              <w:pStyle w:val="Compact"/>
              <w:jc w:val="left"/>
            </w:pPr>
            <w:r>
              <w:rPr>
                <w:bCs/>
                <w:b/>
              </w:rPr>
              <w:t xml:space="preserve">Phone:</w:t>
            </w:r>
            <w:r>
              <w:t xml:space="preserve"> </w:t>
            </w:r>
            <w:r>
              <w:t xml:space="preserve">+1 (416) 555-0342</w:t>
            </w:r>
          </w:p>
        </w:tc>
        <w:tc>
          <w:tcPr/>
          <w:p>
            <w:pPr>
              <w:pStyle w:val="Compact"/>
              <w:jc w:val="left"/>
            </w:pPr>
            <w:r>
              <w:rPr>
                <w:bCs/>
                <w:b/>
              </w:rPr>
              <w:t xml:space="preserve">Email:</w:t>
            </w:r>
            <w:r>
              <w:t xml:space="preserve"> </w:t>
            </w:r>
            <w:r>
              <w:t xml:space="preserve">j.whitfield@whitfieldbanking.ca</w:t>
            </w:r>
          </w:p>
        </w:tc>
      </w:tr>
    </w:tbl>
    <w:p>
      <w:pPr>
        <w:pStyle w:val="BodyText"/>
      </w:pPr>
      <w:r>
        <w:t xml:space="preserve">Purchase Order Line Items – Banker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Banker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Senior Banker – Corporate Treasury Advisory: Comprehensive review and restructuring of Maple Ridge Corporate Holdings' treasury operations, including cash flow optimization, intercompany lending arrangements, and foreign exchange risk management strategies tailored to the Canada Toronto financial market.</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Banker – Commercial Lending Facilitation: The appointed Banker shall negotiate and facilitate a revolving credit facility of up to CAD $5,000,000 with a minimum of three chartered banks operating in Canada Toronto, including preparation of term sheets, credit memos, and lender presentations.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003</w:t>
            </w:r>
          </w:p>
        </w:tc>
        <w:tc>
          <w:tcPr/>
          <w:p>
            <w:pPr>
              <w:pStyle w:val="Compact"/>
              <w:jc w:val="left"/>
            </w:pPr>
            <w:r>
              <w:t xml:space="preserve">Banker – Regulatory Compliance &amp; Reporting: Ongoing monthly compliance monitoring in accordance with the Bank Act (Canada), OSFI guidelines, and the Financial Services Regulatory Authority of Ontario (FSRA). Includes quarterly reporting to the Board of Directors in Toronto.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004</w:t>
            </w:r>
          </w:p>
        </w:tc>
        <w:tc>
          <w:tcPr/>
          <w:p>
            <w:pPr>
              <w:pStyle w:val="Compact"/>
              <w:jc w:val="left"/>
            </w:pPr>
            <w:r>
              <w:t xml:space="preserve">Banker – M&amp;A Financial Due Diligence: The Banker shall conduct full financial due diligence on a target acquisition in the Greater Toronto Area, including balance sheet analysis, debt covenant review, and synergy modeling over a five-year projection period.</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005</w:t>
            </w:r>
          </w:p>
        </w:tc>
        <w:tc>
          <w:tcPr/>
          <w:p>
            <w:pPr>
              <w:pStyle w:val="Compact"/>
              <w:jc w:val="left"/>
            </w:pPr>
            <w:r>
              <w:t xml:space="preserve">Banker – Board Advisory Retainer: Monthly advisory sessions with the Board of Directors of Maple Ridge Corporate Holdings, held at the company's Toronto headquarters. The Banker shall provide strategic guidance on capital structure, dividend policy, and long-term financial planning.</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006</w:t>
            </w:r>
          </w:p>
        </w:tc>
        <w:tc>
          <w:tcPr/>
          <w:p>
            <w:pPr>
              <w:pStyle w:val="Compact"/>
              <w:jc w:val="left"/>
            </w:pPr>
            <w:r>
              <w:t xml:space="preserve">Banker – Emergency Liquidity Contingency Planning: Development of a 90-day liquidity contingency plan, including identification of standby credit lines, asset liquidation hierarchies, and communication protocols with key banking partners in Canada Toronto.</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Subtotal (CAD):</w:t>
            </w:r>
          </w:p>
        </w:tc>
        <w:tc>
          <w:tcPr/>
          <w:p>
            <w:pPr>
              <w:pStyle w:val="Compact"/>
              <w:jc w:val="left"/>
            </w:pPr>
            <w:r>
              <w:t xml:space="preserve">$134,750.00</w:t>
            </w:r>
          </w:p>
        </w:tc>
      </w:tr>
      <w:tr>
        <w:tc>
          <w:tcPr>
            <w:gridSpan w:val="5"/>
          </w:tcPr>
          <w:p>
            <w:pPr>
              <w:pStyle w:val="Compact"/>
              <w:jc w:val="right"/>
            </w:pPr>
            <w:r>
              <w:t xml:space="preserve">HST (13% – Ontario, Canada):</w:t>
            </w:r>
          </w:p>
        </w:tc>
        <w:tc>
          <w:tcPr/>
          <w:p>
            <w:pPr>
              <w:pStyle w:val="Compact"/>
              <w:jc w:val="left"/>
            </w:pPr>
            <w:r>
              <w:t xml:space="preserve">$17,517.50</w:t>
            </w:r>
          </w:p>
        </w:tc>
      </w:tr>
      <w:tr>
        <w:tc>
          <w:tcPr>
            <w:gridSpan w:val="5"/>
          </w:tcPr>
          <w:p>
            <w:pPr>
              <w:pStyle w:val="Compact"/>
              <w:jc w:val="right"/>
            </w:pPr>
            <w:r>
              <w:rPr>
                <w:bCs/>
                <w:b/>
              </w:rPr>
              <w:t xml:space="preserve">TOTAL PURCHASE ORDER VALUE (CAD):</w:t>
            </w:r>
          </w:p>
        </w:tc>
        <w:tc>
          <w:tcPr/>
          <w:p>
            <w:pPr>
              <w:pStyle w:val="Compact"/>
              <w:jc w:val="left"/>
            </w:pPr>
            <w:r>
              <w:rPr>
                <w:bCs/>
                <w:b/>
              </w:rPr>
              <w:t xml:space="preserve">$152,267.50</w:t>
            </w:r>
          </w:p>
        </w:tc>
      </w:tr>
    </w:tbl>
    <w:p>
      <w:pPr>
        <w:pStyle w:val="BodyText"/>
      </w:pPr>
      <w:r>
        <w:t xml:space="preserve">Terms and Conditions</w:t>
      </w:r>
    </w:p>
    <w:p>
      <w:pPr>
        <w:pStyle w:val="BodyText"/>
      </w:pPr>
      <w:r>
        <w:rPr>
          <w:bCs/>
          <w:b/>
        </w:rPr>
        <w:t xml:space="preserve">1. Scope of Banker Engagement:</w:t>
      </w:r>
      <w:r>
        <w:t xml:space="preserve"> </w:t>
      </w:r>
      <w:r>
        <w:t xml:space="preserve">This Purchase Order authorizes the engagement of the named Banker, Jonathan A. Whitfield, and his firm Whitfield &amp; Associates Banking Advisory Group, to perform the banking advisory, facilitation, compliance, and strategic services as itemized above. All services shall be rendered in accordance with the professional standards established by the Canadian Securities Administrators (CSA) and the Financial Planning Standards Council (FPSC) in Canada Toronto.</w:t>
      </w:r>
    </w:p>
    <w:p>
      <w:pPr>
        <w:pStyle w:val="BodyText"/>
      </w:pPr>
      <w:r>
        <w:rPr>
          <w:bCs/>
          <w:b/>
        </w:rPr>
        <w:t xml:space="preserve">2. Delivery and Performance:</w:t>
      </w:r>
      <w:r>
        <w:t xml:space="preserve"> </w:t>
      </w:r>
      <w:r>
        <w:t xml:space="preserve">All deliverables under this Purchase Order shall be completed within the timelines specified in the attached Statement of Work (SOW-2025-TOR-04872). The Banker shall report progress to the Buyer's Procurement Director bi-weekly via written memorandum delivered to the Toronto office at 250 Bloor Street West. Final deliverables for each line item are due no later than the dates stipulated in the SOW.</w:t>
      </w:r>
    </w:p>
    <w:p>
      <w:pPr>
        <w:pStyle w:val="BodyText"/>
      </w:pPr>
      <w:r>
        <w:rPr>
          <w:bCs/>
          <w:b/>
        </w:rPr>
        <w:t xml:space="preserve">3. Payment Terms:</w:t>
      </w:r>
      <w:r>
        <w:t xml:space="preserve"> </w:t>
      </w:r>
      <w:r>
        <w:t xml:space="preserve">Payment shall be made in Canadian Dollars (CAD) within thirty (30) calendar days of receipt of a valid invoice from the Banker. Invoices must reference this Purchase Order number (PO-2025-TOR-04872) and be submitted to accounts payable at Maple Ridge Corporate Holdings Inc., Toronto, Ontario, Canada. Late payments shall accrue interest at the rate prescribed under the Ontario Interest Act.</w:t>
      </w:r>
    </w:p>
    <w:p>
      <w:pPr>
        <w:pStyle w:val="BodyText"/>
      </w:pPr>
      <w:r>
        <w:rPr>
          <w:bCs/>
          <w:b/>
        </w:rPr>
        <w:t xml:space="preserve">4. Confidentiality and Data Protection:</w:t>
      </w:r>
      <w:r>
        <w:t xml:space="preserve"> </w:t>
      </w:r>
      <w:r>
        <w:t xml:space="preserve">The Banker acknowledges that all financial data, corporate records, and proprietary information provided by the Buyer in Canada Toronto are strictly confidential. The Banker shall comply with the Personal Information Protection and Electronic Documents Act (PIPEDA) and the Ontario Personal Health Information Protection Act (PHIPA) where applicable. A mutual Non-Disclosure Agreement (NDA-2025-0487) is incorporated by reference into this Purchase Order.</w:t>
      </w:r>
    </w:p>
    <w:p>
      <w:pPr>
        <w:pStyle w:val="BodyText"/>
      </w:pPr>
      <w:r>
        <w:rPr>
          <w:bCs/>
          <w:b/>
        </w:rPr>
        <w:t xml:space="preserve">5. Professional Liability and Insurance:</w:t>
      </w:r>
      <w:r>
        <w:t xml:space="preserve"> </w:t>
      </w:r>
      <w:r>
        <w:t xml:space="preserve">The Banker shall maintain professional liability insurance with a minimum coverage of CAD $5,000,000 per occurrence, issued by a carrier licensed to operate in the Province of Ontario, Canada. Certificates of insurance shall be provided to the Buyer upon request and prior to the commencement of services.</w:t>
      </w:r>
    </w:p>
    <w:p>
      <w:pPr>
        <w:pStyle w:val="BodyText"/>
      </w:pPr>
      <w:r>
        <w:rPr>
          <w:bCs/>
          <w:b/>
        </w:rPr>
        <w:t xml:space="preserve">6. Termination:</w:t>
      </w:r>
      <w:r>
        <w:t xml:space="preserve"> </w:t>
      </w:r>
      <w:r>
        <w:t xml:space="preserve">Either party may terminate this Purchase Order with thirty (30) days' written notice. In the event of termination, the Buyer shall pay for all Banker services rendered up to the effective date of termination. The Banker shall return all confidential materials within ten (10) business days of termination.</w:t>
      </w:r>
    </w:p>
    <w:p>
      <w:pPr>
        <w:pStyle w:val="BodyText"/>
      </w:pPr>
      <w:r>
        <w:rPr>
          <w:bCs/>
          <w:b/>
        </w:rPr>
        <w:t xml:space="preserve">7. Governing Law and Dispute Resolution:</w:t>
      </w:r>
      <w:r>
        <w:t xml:space="preserve"> </w:t>
      </w:r>
      <w:r>
        <w:t xml:space="preserve">This Purchase Order shall be governed by and construed in accordance with the laws of the Province of Ontario and the federal laws of Canada applicable therein. Any disputes arising from this Purchase Order shall be resolved through binding arbitration in Toronto, Ontario, Canada, in accordance with the Arbitration Act (Ontario). The seat of arbitration shall be Canada Toronto.</w:t>
      </w:r>
    </w:p>
    <w:p>
      <w:pPr>
        <w:pStyle w:val="BodyText"/>
      </w:pPr>
      <w:r>
        <w:rPr>
          <w:bCs/>
          <w:b/>
        </w:rPr>
        <w:t xml:space="preserve">8. Force Majeure:</w:t>
      </w:r>
      <w:r>
        <w:t xml:space="preserve"> </w:t>
      </w:r>
      <w:r>
        <w:t xml:space="preserve">Neither party shall be liable for failure to perform obligations under this Purchase Order due to events beyond reasonable control, including but not limited to natural disasters, pandemics, government regulatory actions by OSFI or the Bank of Canada, or systemic financial market disruptions affecting the Canada Toronto banking sector.</w:t>
      </w:r>
    </w:p>
    <w:p>
      <w:pPr>
        <w:pStyle w:val="BodyText"/>
      </w:pPr>
      <w:r>
        <w:rPr>
          <w:bCs/>
          <w:b/>
        </w:rPr>
        <w:t xml:space="preserve">9. Entire Agreement:</w:t>
      </w:r>
      <w:r>
        <w:t xml:space="preserve"> </w:t>
      </w:r>
      <w:r>
        <w:t xml:space="preserve">This Purchase Order, together with the referenced SOW and NDA, constitutes the entire agreement between the parties regarding the engagement of the Banker for the services described herein. No modification shall be valid unless made in writing and signed by authorized representatives of both parties in Canada Toronto.</w:t>
      </w:r>
    </w:p>
    <w:p>
      <w:pPr>
        <w:pStyle w:val="BodyText"/>
      </w:pPr>
      <w:r>
        <w:rPr>
          <w:bCs/>
          <w:b/>
        </w:rPr>
        <w:t xml:space="preserve">Authorized by – Buyer</w:t>
      </w:r>
    </w:p>
    <w:p>
      <w:pPr>
        <w:pStyle w:val="BodyText"/>
      </w:pPr>
      <w:r>
        <w:t xml:space="preserve">Maple Ridge Corporate Holdings Inc.</w:t>
      </w:r>
    </w:p>
    <w:p>
      <w:pPr>
        <w:pStyle w:val="BodyText"/>
      </w:pPr>
      <w:r>
        <w:t xml:space="preserve">Margaret Chen, Procurement Director</w:t>
      </w:r>
    </w:p>
    <w:p>
      <w:pPr>
        <w:pStyle w:val="BodyText"/>
      </w:pPr>
      <w:r>
        <w:t xml:space="preserve">Date: ______________________</w:t>
      </w:r>
    </w:p>
    <w:p>
      <w:pPr>
        <w:pStyle w:val="BodyText"/>
      </w:pPr>
      <w:r>
        <w:rPr>
          <w:bCs/>
          <w:b/>
        </w:rPr>
        <w:t xml:space="preserve">Accepted by – Banker / Supplier</w:t>
      </w:r>
    </w:p>
    <w:p>
      <w:pPr>
        <w:pStyle w:val="BodyText"/>
      </w:pPr>
      <w:r>
        <w:t xml:space="preserve">Whitfield &amp; Associates Banking Advisory Group</w:t>
      </w:r>
    </w:p>
    <w:p>
      <w:pPr>
        <w:pStyle w:val="BodyText"/>
      </w:pPr>
      <w:r>
        <w:t xml:space="preserve">Jonathan A. Whitfield, CFA, CFP</w:t>
      </w:r>
    </w:p>
    <w:p>
      <w:pPr>
        <w:pStyle w:val="BodyText"/>
      </w:pPr>
      <w:r>
        <w:t xml:space="preserve">Date: ______________________</w:t>
      </w:r>
    </w:p>
    <w:p>
      <w:pPr>
        <w:pStyle w:val="BodyText"/>
      </w:pPr>
      <w:r>
        <w:t xml:space="preserve">This Purchase Order was prepared and issued in Toronto, Ontario, Canada. All references to "Canada Toronto" denote the City of Toronto within the Province of Ontario, Canada, as the primary jurisdiction for performance, payment, and legal enforcement of this document. Document Reference: PO-2025-TOR-04872 | Version 1.0 | Confidential – For Internal and Counterparty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Canada Toronto</dc:title>
  <dc:creator/>
  <dc:language>en</dc:language>
  <cp:keywords/>
  <dcterms:created xsi:type="dcterms:W3CDTF">2026-10-10T07:32:08Z</dcterms:created>
  <dcterms:modified xsi:type="dcterms:W3CDTF">2026-10-10T07:32:08Z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