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China</w:t>
      </w:r>
      <w:r>
        <w:t xml:space="preserve"> </w:t>
      </w:r>
      <w:r>
        <w:t xml:space="preserve">Guangzhou</w:t>
      </w:r>
    </w:p>
    <w:bookmarkStart w:id="29" w:name="purchase-order"/>
    <w:p>
      <w:pPr>
        <w:pStyle w:val="Heading1"/>
      </w:pPr>
      <w:r>
        <w:t xml:space="preserve">PURCHASE ORDER</w:t>
      </w:r>
    </w:p>
    <w:p>
      <w:pPr>
        <w:pStyle w:val="FirstParagraph"/>
      </w:pPr>
      <w:r>
        <w:t xml:space="preserve">Banker Equipment, Systems &amp; Professional Services</w:t>
      </w:r>
      <w:r>
        <w:br/>
      </w:r>
      <w:r>
        <w:t xml:space="preserve">China Guangzhou Region</w:t>
      </w:r>
    </w:p>
    <w:p>
      <w:pPr>
        <w:pStyle w:val="BodyText"/>
      </w:pPr>
      <w:r>
        <w:rPr>
          <w:bCs/>
          <w:b/>
        </w:rPr>
        <w:t xml:space="preserve">Purchase Order No.:</w:t>
      </w:r>
      <w:r>
        <w:t xml:space="preserve"> </w:t>
      </w:r>
      <w:r>
        <w:t xml:space="preserve">PO-GZ-2025-04872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Priority:</w:t>
      </w:r>
      <w:r>
        <w:t xml:space="preserve"> </w:t>
      </w:r>
      <w:r>
        <w:t xml:space="preserve">Standard</w:t>
      </w:r>
    </w:p>
    <w:p>
      <w:pPr>
        <w:pStyle w:val="BodyText"/>
      </w:pPr>
      <w:r>
        <w:rPr>
          <w:bCs/>
          <w:b/>
        </w:rPr>
        <w:t xml:space="preserve">Buyer:</w:t>
      </w:r>
      <w:r>
        <w:t xml:space="preserve"> </w:t>
      </w:r>
      <w:r>
        <w:t xml:space="preserve">Guangzhou Pacific Financial Group Co., Ltd.</w:t>
      </w:r>
      <w:r>
        <w:br/>
      </w:r>
      <w:r>
        <w:rPr>
          <w:bCs/>
          <w:b/>
        </w:rPr>
        <w:t xml:space="preserve">Seller:</w:t>
      </w:r>
      <w:r>
        <w:t xml:space="preserve"> </w:t>
      </w:r>
      <w:r>
        <w:t xml:space="preserve">Meridian Banker Solutions International</w:t>
      </w:r>
      <w:r>
        <w:br/>
      </w:r>
      <w:r>
        <w:rPr>
          <w:bCs/>
          <w:b/>
        </w:rPr>
        <w:t xml:space="preserve">PO Status:</w:t>
      </w:r>
      <w:r>
        <w:t xml:space="preserve"> </w:t>
      </w:r>
      <w:r>
        <w:rPr>
          <w:iCs/>
          <w:i/>
        </w:rPr>
        <w:t xml:space="preserve">Pending Approval</w:t>
      </w:r>
    </w:p>
    <w:bookmarkStart w:id="20"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 (Purchasing Entity)</w:t>
            </w:r>
          </w:p>
        </w:tc>
        <w:tc>
          <w:tcPr/>
          <w:p>
            <w:pPr>
              <w:pStyle w:val="Compact"/>
              <w:jc w:val="left"/>
            </w:pPr>
            <w:r>
              <w:t xml:space="preserve">Guangzhou Pacific Financial Group Co., Ltd.</w:t>
            </w:r>
            <w:r>
              <w:br/>
            </w:r>
            <w:r>
              <w:t xml:space="preserve">Tower B, 388 Tianhe Road, Tianhe District, Guangzhou, Guangdong Province, China 510620</w:t>
            </w:r>
            <w:r>
              <w:br/>
            </w:r>
            <w:r>
              <w:t xml:space="preserve">Unified Social Credit Code: 91440101MA5C8X2K7P</w:t>
            </w:r>
            <w:r>
              <w:br/>
            </w:r>
            <w:r>
              <w:t xml:space="preserve">Contact: Mr. Liang Wei, Procurement Director</w:t>
            </w:r>
            <w:r>
              <w:br/>
            </w:r>
            <w:r>
              <w:t xml:space="preserve">Email: procurement@gzpfchina.com.cn | Tel: +86-20-8876-4421</w:t>
            </w:r>
          </w:p>
        </w:tc>
      </w:tr>
      <w:tr>
        <w:tc>
          <w:tcPr/>
          <w:p>
            <w:pPr>
              <w:pStyle w:val="Compact"/>
              <w:jc w:val="left"/>
            </w:pPr>
            <w:r>
              <w:t xml:space="preserve">Seller (Supplier)</w:t>
            </w:r>
          </w:p>
        </w:tc>
        <w:tc>
          <w:tcPr/>
          <w:p>
            <w:pPr>
              <w:pStyle w:val="Compact"/>
              <w:jc w:val="left"/>
            </w:pPr>
            <w:r>
              <w:t xml:space="preserve">Meridian Banker Solutions International Ltd.</w:t>
            </w:r>
            <w:r>
              <w:br/>
            </w:r>
            <w:r>
              <w:t xml:space="preserve">Unit 12, 45th Floor, IFC Mall, 380 Huacheng Avenue, Tianhe District, Guangzhou, China 510623</w:t>
            </w:r>
            <w:r>
              <w:br/>
            </w:r>
            <w:r>
              <w:t xml:space="preserve">Registration No.: 91440106MA9D3F7L2Q</w:t>
            </w:r>
            <w:r>
              <w:br/>
            </w:r>
            <w:r>
              <w:t xml:space="preserve">Contact: Ms. Sarah Chen, Regional Account Manager</w:t>
            </w:r>
            <w:r>
              <w:br/>
            </w:r>
            <w:r>
              <w:t xml:space="preserve">Email: s.chen@meridianbankersolutions.com | Tel: +86-20-3899-7702</w:t>
            </w:r>
          </w:p>
        </w:tc>
      </w:tr>
      <w:tr>
        <w:tc>
          <w:tcPr/>
          <w:p>
            <w:pPr>
              <w:pStyle w:val="Compact"/>
              <w:jc w:val="left"/>
            </w:pPr>
            <w:r>
              <w:t xml:space="preserve">Delivery Location</w:t>
            </w:r>
          </w:p>
        </w:tc>
        <w:tc>
          <w:tcPr/>
          <w:p>
            <w:pPr>
              <w:pStyle w:val="Compact"/>
              <w:jc w:val="left"/>
            </w:pPr>
            <w:r>
              <w:t xml:space="preserve">Guangzhou Pacific Financial Group Headquarters, 388 Tianhe Road, Tianhe District, Guangzhou, Guangdong, China. All Banker-related equipment and materials referenced in this Purchase Order shall be delivered, installed, and commissioned at this China Guangzhou address unless otherwise specified in writing.</w:t>
            </w:r>
          </w:p>
        </w:tc>
      </w:tr>
    </w:tbl>
    <w:bookmarkEnd w:id="20"/>
    <w:bookmarkStart w:id="21" w:name="Xeaa8c287ed8f65aa533779a43723f4a27310028"/>
    <w:p>
      <w:pPr>
        <w:pStyle w:val="Heading2"/>
      </w:pPr>
      <w:r>
        <w:t xml:space="preserve">2. Scope of Purchase – Banker Equipment &amp; Services</w:t>
      </w:r>
    </w:p>
    <w:p>
      <w:pPr>
        <w:pStyle w:val="FirstParagraph"/>
      </w:pPr>
      <w:r>
        <w:t xml:space="preserve">This Purchase Order is issued by Guangzhou Pacific Financial Group Co., Ltd. (hereinafter referred to as the "Buyer") to Meridian Banker Solutions International Ltd. (hereinafter referred to as the "Seller") for the supply, delivery, installation, and commissioning of comprehensive Banker-grade equipment, banking infrastructure, and associated professional services. The term "Banker" as used throughout this Purchase Order refers to the full suite of professional banking hardware, software platforms, security systems, and advisory services required to establish and operate a fully compliant banking operations centre in China Guangzhou in accordance with the regulations of the People's Bank of China (PBOC) and the China Banking and Insurance Regulatory Commission (CBIRC).</w:t>
      </w:r>
    </w:p>
    <w:bookmarkEnd w:id="21"/>
    <w:bookmarkStart w:id="22" w:name="itemised-schedule-of-goods-and-services"/>
    <w:p>
      <w:pPr>
        <w:pStyle w:val="Heading2"/>
      </w:pPr>
      <w:r>
        <w:t xml:space="preserve">3.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Banker-Grade Dual-Channel ATM/CDM Terminal (Model MB-ATM-9400), PBOC-compliant, with biometric authentication module and RMB/USD dual-currency dispensing capability</w:t>
            </w:r>
          </w:p>
        </w:tc>
        <w:tc>
          <w:tcPr/>
          <w:p>
            <w:pPr>
              <w:pStyle w:val="Compact"/>
              <w:jc w:val="left"/>
            </w:pPr>
            <w:r>
              <w:t xml:space="preserve">12</w:t>
            </w:r>
          </w:p>
        </w:tc>
        <w:tc>
          <w:tcPr/>
          <w:p>
            <w:pPr>
              <w:pStyle w:val="Compact"/>
              <w:jc w:val="left"/>
            </w:pPr>
            <w:r>
              <w:t xml:space="preserve">186,000.00</w:t>
            </w:r>
          </w:p>
        </w:tc>
        <w:tc>
          <w:tcPr/>
          <w:p>
            <w:pPr>
              <w:pStyle w:val="Compact"/>
              <w:jc w:val="left"/>
            </w:pPr>
            <w:r>
              <w:t xml:space="preserve">2,232,000.00</w:t>
            </w:r>
          </w:p>
        </w:tc>
        <w:tc>
          <w:tcPr/>
          <w:p>
            <w:pPr>
              <w:pStyle w:val="Compact"/>
              <w:jc w:val="left"/>
            </w:pPr>
            <w:r>
              <w:t xml:space="preserve">For installation across 6 branch locations in Guangzhou. Includes 3-year hardware warranty and on-site service in China Guangzhou.</w:t>
            </w:r>
          </w:p>
        </w:tc>
      </w:tr>
      <w:tr>
        <w:tc>
          <w:tcPr/>
          <w:p>
            <w:pPr>
              <w:pStyle w:val="Compact"/>
              <w:jc w:val="left"/>
            </w:pPr>
            <w:r>
              <w:t xml:space="preserve">02</w:t>
            </w:r>
          </w:p>
        </w:tc>
        <w:tc>
          <w:tcPr/>
          <w:p>
            <w:pPr>
              <w:pStyle w:val="Compact"/>
              <w:jc w:val="left"/>
            </w:pPr>
            <w:r>
              <w:t xml:space="preserve">Banker Core Banking Software Platform (MB-Core v7.2), multi-tenant, supporting RMB, USD, EUR, and HKD currencies. Licensed for 500 concurrent Banker operator sessions.</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c>
          <w:tcPr/>
          <w:p>
            <w:pPr>
              <w:pStyle w:val="Compact"/>
              <w:jc w:val="left"/>
            </w:pPr>
            <w:r>
              <w:t xml:space="preserve">Perpetual licence with 5-year support and upgrade entitlement. Deployment and data migration services included.</w:t>
            </w:r>
          </w:p>
        </w:tc>
      </w:tr>
      <w:tr>
        <w:tc>
          <w:tcPr/>
          <w:p>
            <w:pPr>
              <w:pStyle w:val="Compact"/>
              <w:jc w:val="left"/>
            </w:pPr>
            <w:r>
              <w:t xml:space="preserve">03</w:t>
            </w:r>
          </w:p>
        </w:tc>
        <w:tc>
          <w:tcPr/>
          <w:p>
            <w:pPr>
              <w:pStyle w:val="Compact"/>
              <w:jc w:val="left"/>
            </w:pPr>
            <w:r>
              <w:t xml:space="preserve">Banker Security &amp; Surveillance Suite – 4K IP camera network (240 cameras), AI-driven anomaly detection, PBOC-grade data encryption (SM4/SM2), and 90-day local storage with cloud backup</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c>
          <w:tcPr/>
          <w:p>
            <w:pPr>
              <w:pStyle w:val="Compact"/>
              <w:jc w:val="left"/>
            </w:pPr>
            <w:r>
              <w:t xml:space="preserve">Covers all floors of the Guangzhou headquarters and 6 satellite branches. Must comply with GB/T 28181-2016 standard.</w:t>
            </w:r>
          </w:p>
        </w:tc>
      </w:tr>
      <w:tr>
        <w:tc>
          <w:tcPr/>
          <w:p>
            <w:pPr>
              <w:pStyle w:val="Compact"/>
              <w:jc w:val="left"/>
            </w:pPr>
            <w:r>
              <w:t xml:space="preserve">04</w:t>
            </w:r>
          </w:p>
        </w:tc>
        <w:tc>
          <w:tcPr/>
          <w:p>
            <w:pPr>
              <w:pStyle w:val="Compact"/>
              <w:jc w:val="left"/>
            </w:pPr>
            <w:r>
              <w:t xml:space="preserve">Banker Operations Centre (BOC) Fit-Out – 24-operator trading floor, 42-inch dual-monitor workstations, dedicated fibre-optic network (10 Gbps), UPS backup (4-hour runtime), and HVAC climate control</w:t>
            </w:r>
          </w:p>
        </w:tc>
        <w:tc>
          <w:tcPr/>
          <w:p>
            <w:pPr>
              <w:pStyle w:val="Compact"/>
              <w:jc w:val="left"/>
            </w:pPr>
            <w:r>
              <w:t xml:space="preserve">1</w:t>
            </w:r>
          </w:p>
        </w:tc>
        <w:tc>
          <w:tcPr/>
          <w:p>
            <w:pPr>
              <w:pStyle w:val="Compact"/>
              <w:jc w:val="left"/>
            </w:pPr>
            <w:r>
              <w:t xml:space="preserve">6,200,000.00</w:t>
            </w:r>
          </w:p>
        </w:tc>
        <w:tc>
          <w:tcPr/>
          <w:p>
            <w:pPr>
              <w:pStyle w:val="Compact"/>
              <w:jc w:val="left"/>
            </w:pPr>
            <w:r>
              <w:t xml:space="preserve">6,200,000.00</w:t>
            </w:r>
          </w:p>
        </w:tc>
        <w:tc>
          <w:tcPr/>
          <w:p>
            <w:pPr>
              <w:pStyle w:val="Compact"/>
              <w:jc w:val="left"/>
            </w:pPr>
            <w:r>
              <w:t xml:space="preserve">Turnkey installation at 388 Tianhe Road, Guangzhou. Includes civil works, electrical, and IT infrastructure. Estimated 14-week build period.</w:t>
            </w:r>
          </w:p>
        </w:tc>
      </w:tr>
      <w:tr>
        <w:tc>
          <w:tcPr/>
          <w:p>
            <w:pPr>
              <w:pStyle w:val="Compact"/>
              <w:jc w:val="left"/>
            </w:pPr>
            <w:r>
              <w:t xml:space="preserve">05</w:t>
            </w:r>
          </w:p>
        </w:tc>
        <w:tc>
          <w:tcPr/>
          <w:p>
            <w:pPr>
              <w:pStyle w:val="Compact"/>
              <w:jc w:val="left"/>
            </w:pPr>
            <w:r>
              <w:t xml:space="preserve">Banker Compliance &amp; AML Monitoring System – Real-time transaction monitoring, PEP screening, sanctions list matching (UN, OFAC, PBOC), and automated CBIRC reporting module</w:t>
            </w:r>
          </w:p>
        </w:tc>
        <w:tc>
          <w:tcPr/>
          <w:p>
            <w:pPr>
              <w:pStyle w:val="Compact"/>
              <w:jc w:val="left"/>
            </w:pPr>
            <w:r>
              <w:t xml:space="preserve">1</w:t>
            </w:r>
          </w:p>
        </w:tc>
        <w:tc>
          <w:tcPr/>
          <w:p>
            <w:pPr>
              <w:pStyle w:val="Compact"/>
              <w:jc w:val="left"/>
            </w:pPr>
            <w:r>
              <w:t xml:space="preserve">1,950,000.00</w:t>
            </w:r>
          </w:p>
        </w:tc>
        <w:tc>
          <w:tcPr/>
          <w:p>
            <w:pPr>
              <w:pStyle w:val="Compact"/>
              <w:jc w:val="left"/>
            </w:pPr>
            <w:r>
              <w:t xml:space="preserve">1,950,000.00</w:t>
            </w:r>
          </w:p>
        </w:tc>
        <w:tc>
          <w:tcPr/>
          <w:p>
            <w:pPr>
              <w:pStyle w:val="Compact"/>
              <w:jc w:val="left"/>
            </w:pPr>
            <w:r>
              <w:t xml:space="preserve">Annual licence. Includes initial configuration, 6 months of hypercare support, and quarterly compliance updates for the China Guangzhou regulatory environment.</w:t>
            </w:r>
          </w:p>
        </w:tc>
      </w:tr>
      <w:tr>
        <w:tc>
          <w:tcPr/>
          <w:p>
            <w:pPr>
              <w:pStyle w:val="Compact"/>
              <w:jc w:val="left"/>
            </w:pPr>
            <w:r>
              <w:t xml:space="preserve">06</w:t>
            </w:r>
          </w:p>
        </w:tc>
        <w:tc>
          <w:tcPr/>
          <w:p>
            <w:pPr>
              <w:pStyle w:val="Compact"/>
              <w:jc w:val="left"/>
            </w:pPr>
            <w:r>
              <w:t xml:space="preserve">Banker Professional Training Programme – 40-hour on-site training for 60 Banker staff members covering core banking operations, ATM maintenance, security protocols, AML procedures, and emergency response. Delivered in Mandarin Chinese with English supplementary materials.</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c>
          <w:tcPr/>
          <w:p>
            <w:pPr>
              <w:pStyle w:val="Compact"/>
              <w:jc w:val="left"/>
            </w:pPr>
            <w:r>
              <w:t xml:space="preserve">Conducted at Guangzhou headquarters over 10 business days. Includes printed and digital training manuals.</w:t>
            </w:r>
          </w:p>
        </w:tc>
      </w:tr>
      <w:tr>
        <w:tc>
          <w:tcPr/>
          <w:p>
            <w:pPr>
              <w:pStyle w:val="Compact"/>
              <w:jc w:val="left"/>
            </w:pPr>
            <w:r>
              <w:t xml:space="preserve">07</w:t>
            </w:r>
          </w:p>
        </w:tc>
        <w:tc>
          <w:tcPr/>
          <w:p>
            <w:pPr>
              <w:pStyle w:val="Compact"/>
              <w:jc w:val="left"/>
            </w:pPr>
            <w:r>
              <w:t xml:space="preserve">Banker Spare Parts &amp; Consumables Kit – 12-month supply of ATM cash cassettes, printer modules, card readers, biometric sensors, and network components for all 12 ATM/CDM units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Stored at designated warehouse in Guangzhou. Replenishment ordered separately under future Purchase Orders.</w:t>
            </w:r>
          </w:p>
        </w:tc>
      </w:tr>
      <w:tr>
        <w:tc>
          <w:tcPr/>
          <w:p>
            <w:pPr>
              <w:pStyle w:val="Compact"/>
              <w:jc w:val="left"/>
            </w:pPr>
            <w:r>
              <w:t xml:space="preserve">08</w:t>
            </w:r>
          </w:p>
        </w:tc>
        <w:tc>
          <w:tcPr/>
          <w:p>
            <w:pPr>
              <w:pStyle w:val="Compact"/>
              <w:jc w:val="left"/>
            </w:pPr>
            <w:r>
              <w:t xml:space="preserve">Banker Project Management &amp; Commissioning Services – Dedicated project manager, weekly progress reporting, FAT/SAT testing, PBOC pre-licensing inspection coordination, and final handover documentation</w:t>
            </w:r>
          </w:p>
        </w:tc>
        <w:tc>
          <w:tcPr/>
          <w:p>
            <w:pPr>
              <w:pStyle w:val="Compact"/>
              <w:jc w:val="left"/>
            </w:pPr>
            <w:r>
              <w:t xml:space="preserve">1</w:t>
            </w:r>
          </w:p>
        </w:tc>
        <w:tc>
          <w:tcPr/>
          <w:p>
            <w:pPr>
              <w:pStyle w:val="Compact"/>
              <w:jc w:val="left"/>
            </w:pPr>
            <w:r>
              <w:t xml:space="preserve">1,100,000.00</w:t>
            </w:r>
          </w:p>
        </w:tc>
        <w:tc>
          <w:tcPr/>
          <w:p>
            <w:pPr>
              <w:pStyle w:val="Compact"/>
              <w:jc w:val="left"/>
            </w:pPr>
            <w:r>
              <w:t xml:space="preserve">1,100,000.00</w:t>
            </w:r>
          </w:p>
        </w:tc>
        <w:tc>
          <w:tcPr/>
          <w:p>
            <w:pPr>
              <w:pStyle w:val="Compact"/>
              <w:jc w:val="left"/>
            </w:pPr>
            <w:r>
              <w:t xml:space="preserve">Full lifecycle management from Purchase Order acceptance to final commissioning sign-off in China Guangzhou.</w:t>
            </w:r>
          </w:p>
        </w:tc>
      </w:tr>
      <w:tr>
        <w:tc>
          <w:tcPr>
            <w:gridSpan w:val="4"/>
          </w:tcPr>
          <w:p>
            <w:pPr>
              <w:pStyle w:val="Compact"/>
              <w:jc w:val="right"/>
            </w:pPr>
            <w:r>
              <w:t xml:space="preserve">Subtotal (CNY)</w:t>
            </w:r>
          </w:p>
        </w:tc>
        <w:tc>
          <w:tcPr/>
          <w:p>
            <w:pPr>
              <w:pStyle w:val="Compact"/>
              <w:jc w:val="left"/>
            </w:pPr>
            <w:r>
              <w:t xml:space="preserve">20,032,000.00</w:t>
            </w:r>
          </w:p>
        </w:tc>
        <w:tc>
          <w:tcPr/>
          <w:p>
            <w:pPr>
              <w:pStyle w:val="Compact"/>
            </w:pPr>
          </w:p>
        </w:tc>
      </w:tr>
      <w:tr>
        <w:tc>
          <w:tcPr>
            <w:gridSpan w:val="4"/>
          </w:tcPr>
          <w:p>
            <w:pPr>
              <w:pStyle w:val="Compact"/>
              <w:jc w:val="right"/>
            </w:pPr>
            <w:r>
              <w:t xml:space="preserve">VAT (13% – China Standard Rate)</w:t>
            </w:r>
          </w:p>
        </w:tc>
        <w:tc>
          <w:tcPr/>
          <w:p>
            <w:pPr>
              <w:pStyle w:val="Compact"/>
              <w:jc w:val="left"/>
            </w:pPr>
            <w:r>
              <w:t xml:space="preserve">2,604,160.00</w:t>
            </w:r>
          </w:p>
        </w:tc>
        <w:tc>
          <w:tcPr/>
          <w:p>
            <w:pPr>
              <w:pStyle w:val="Compact"/>
            </w:pPr>
          </w:p>
        </w:tc>
      </w:tr>
      <w:tr>
        <w:tc>
          <w:tcPr>
            <w:gridSpan w:val="4"/>
          </w:tcPr>
          <w:p>
            <w:pPr>
              <w:pStyle w:val="Compact"/>
              <w:jc w:val="right"/>
            </w:pPr>
            <w:r>
              <w:t xml:space="preserve">TOTAL AMOUNT DUE (CNY)</w:t>
            </w:r>
          </w:p>
        </w:tc>
        <w:tc>
          <w:tcPr/>
          <w:p>
            <w:pPr>
              <w:pStyle w:val="Compact"/>
              <w:jc w:val="left"/>
            </w:pPr>
            <w:r>
              <w:t xml:space="preserve">22,636,160.00</w:t>
            </w:r>
          </w:p>
        </w:tc>
        <w:tc>
          <w:tcPr/>
          <w:p>
            <w:pPr>
              <w:pStyle w:val="Compact"/>
              <w:jc w:val="left"/>
            </w:pPr>
            <w:r>
              <w:t xml:space="preserve">Twenty-Two Million Six Hundred Thirty-Six Thousand One Hundred Sixty Yuan Renminbi Only</w:t>
            </w:r>
          </w:p>
        </w:tc>
      </w:tr>
    </w:tbl>
    <w:bookmarkEnd w:id="22"/>
    <w:bookmarkStart w:id="23" w:name="payment-terms"/>
    <w:p>
      <w:pPr>
        <w:pStyle w:val="Heading2"/>
      </w:pPr>
      <w:r>
        <w:t xml:space="preserve">4. Payment Terms</w:t>
      </w:r>
    </w:p>
    <w:p>
      <w:pPr>
        <w:pStyle w:val="FirstParagraph"/>
      </w:pPr>
      <w:r>
        <w:t xml:space="preserve">All payments under this Purchase Order shall be made in Renminbi (CNY) via wire transfer to the Seller's designated bank account in Guangzhou, China, unless otherwise agreed in writing. The payment schedule for this Banker procurement is as follows:</w:t>
      </w:r>
    </w:p>
    <w:p>
      <w:pPr>
        <w:numPr>
          <w:ilvl w:val="0"/>
          <w:numId w:val="1001"/>
        </w:numPr>
        <w:pStyle w:val="Compact"/>
      </w:pPr>
      <w:r>
        <w:rPr>
          <w:bCs/>
          <w:b/>
        </w:rPr>
        <w:t xml:space="preserve">30% Advance Payment (CNY 6,790,848.00):</w:t>
      </w:r>
      <w:r>
        <w:t xml:space="preserve"> </w:t>
      </w:r>
      <w:r>
        <w:t xml:space="preserve">Due within 10 business days of mutual signature of this Purchase Order, to initiate manufacturing and procurement of Banker hardware components.</w:t>
      </w:r>
    </w:p>
    <w:p>
      <w:pPr>
        <w:numPr>
          <w:ilvl w:val="0"/>
          <w:numId w:val="1001"/>
        </w:numPr>
        <w:pStyle w:val="Compact"/>
      </w:pPr>
      <w:r>
        <w:rPr>
          <w:bCs/>
          <w:b/>
        </w:rPr>
        <w:t xml:space="preserve">40% Progress Payment (CNY 9,054,464.00):</w:t>
      </w:r>
      <w:r>
        <w:t xml:space="preserve"> </w:t>
      </w:r>
      <w:r>
        <w:t xml:space="preserve">Due upon completion of the Banker Operations Centre fit-out and successful Factory Acceptance Testing (FAT) of all ATM/CDM terminals, to be conducted at the Seller's facility in Guangzhou.</w:t>
      </w:r>
    </w:p>
    <w:p>
      <w:pPr>
        <w:numPr>
          <w:ilvl w:val="0"/>
          <w:numId w:val="1001"/>
        </w:numPr>
        <w:pStyle w:val="Compact"/>
      </w:pPr>
      <w:r>
        <w:rPr>
          <w:bCs/>
          <w:b/>
        </w:rPr>
        <w:t xml:space="preserve">20% Commissioning Payment (CNY 4,527,232.00):</w:t>
      </w:r>
      <w:r>
        <w:t xml:space="preserve"> </w:t>
      </w:r>
      <w:r>
        <w:t xml:space="preserve">Due upon successful Site Acceptance Testing (SAT), full installation, and PBOC pre-licensing inspection clearance at the China Guangzhou delivery location.</w:t>
      </w:r>
    </w:p>
    <w:p>
      <w:pPr>
        <w:numPr>
          <w:ilvl w:val="0"/>
          <w:numId w:val="1001"/>
        </w:numPr>
        <w:pStyle w:val="Compact"/>
      </w:pPr>
      <w:r>
        <w:rPr>
          <w:bCs/>
          <w:b/>
        </w:rPr>
        <w:t xml:space="preserve">10% Retention (CNY 2,263,616.00):</w:t>
      </w:r>
      <w:r>
        <w:t xml:space="preserve"> </w:t>
      </w:r>
      <w:r>
        <w:t xml:space="preserve">Due 12 months after final commissioning, subject to satisfactory performance of all Banker systems and resolution of any outstanding defects or warranty claims.</w:t>
      </w:r>
    </w:p>
    <w:bookmarkEnd w:id="23"/>
    <w:bookmarkStart w:id="24" w:name="delivery-installation-commissioning"/>
    <w:p>
      <w:pPr>
        <w:pStyle w:val="Heading2"/>
      </w:pPr>
      <w:r>
        <w:t xml:space="preserve">5. Delivery, Installation &amp; Commissioning</w:t>
      </w:r>
    </w:p>
    <w:p>
      <w:pPr>
        <w:pStyle w:val="FirstParagraph"/>
      </w:pPr>
      <w:r>
        <w:t xml:space="preserve">The Seller shall deliver all Banker equipment and materials to the Buyer's premises at 388 Tianhe Road, Tianhe District, Guangzhou, China, no later than</w:t>
      </w:r>
      <w:r>
        <w:t xml:space="preserve"> </w:t>
      </w:r>
      <w:r>
        <w:rPr>
          <w:bCs/>
          <w:b/>
        </w:rPr>
        <w:t xml:space="preserve">15 November 2025</w:t>
      </w:r>
      <w:r>
        <w:t xml:space="preserve">. Installation and commissioning of the Banker Operations Centre, ATM/CDM network, security systems, and software platforms shall be completed no later than</w:t>
      </w:r>
      <w:r>
        <w:t xml:space="preserve"> </w:t>
      </w:r>
      <w:r>
        <w:rPr>
          <w:bCs/>
          <w:b/>
        </w:rPr>
        <w:t xml:space="preserve">15 January 2026</w:t>
      </w:r>
      <w:r>
        <w:t xml:space="preserve">. The Seller is responsible for all logistics, customs clearance (where applicable for imported Banker components), insurance during transit, and on-site installation within China Guangzhou. The Buyer shall provide the Seller with reasonable access to the delivery site, including loading dock access, electrical connections, and network infrastructure readiness, at least 14 days prior to the scheduled installation date.</w:t>
      </w:r>
    </w:p>
    <w:bookmarkEnd w:id="24"/>
    <w:bookmarkStart w:id="25" w:name="warranties-after-sales-support"/>
    <w:p>
      <w:pPr>
        <w:pStyle w:val="Heading2"/>
      </w:pPr>
      <w:r>
        <w:t xml:space="preserve">6. Warranties &amp; After-Sales Support</w:t>
      </w:r>
    </w:p>
    <w:p>
      <w:pPr>
        <w:pStyle w:val="FirstParagraph"/>
      </w:pPr>
      <w:r>
        <w:t xml:space="preserve">The Seller warrants that all Banker hardware supplied under this Purchase Order shall be new, unused, and free from defects in materials and workmanship for a period of</w:t>
      </w:r>
      <w:r>
        <w:t xml:space="preserve"> </w:t>
      </w:r>
      <w:r>
        <w:rPr>
          <w:bCs/>
          <w:b/>
        </w:rPr>
        <w:t xml:space="preserve">36 months</w:t>
      </w:r>
      <w:r>
        <w:t xml:space="preserve"> </w:t>
      </w:r>
      <w:r>
        <w:t xml:space="preserve">from the date of final commissioning in Guangzhou. The Banker software platforms carry a</w:t>
      </w:r>
      <w:r>
        <w:t xml:space="preserve"> </w:t>
      </w:r>
      <w:r>
        <w:rPr>
          <w:bCs/>
          <w:b/>
        </w:rPr>
        <w:t xml:space="preserve">60-month</w:t>
      </w:r>
      <w:r>
        <w:t xml:space="preserve"> </w:t>
      </w:r>
      <w:r>
        <w:t xml:space="preserve">warranty covering bug fixes, security patches, and regulatory compliance updates. The Seller shall maintain a dedicated after-sales support office in Guangzhou, China, staffed by qualified Banker technicians available 24/7 for critical system failures and 8:00–20:00 (CST) for routine maintenance. Response time for critical Banker system outages shall not exceed 4 hours, with on-site attendance in Guangzhou within 8 hours.</w:t>
      </w:r>
    </w:p>
    <w:bookmarkEnd w:id="25"/>
    <w:bookmarkStart w:id="26" w:name="governing-law-dispute-resolution"/>
    <w:p>
      <w:pPr>
        <w:pStyle w:val="Heading2"/>
      </w:pPr>
      <w:r>
        <w:t xml:space="preserve">7. Governing Law &amp; Dispute Resolution</w:t>
      </w:r>
    </w:p>
    <w:p>
      <w:pPr>
        <w:pStyle w:val="FirstParagraph"/>
      </w:pPr>
      <w:r>
        <w:t xml:space="preserve">This Purchase Order shall be governed by and construed in accordance with the laws of the People's Republic of China. Any disputes arising from or in connection with this Purchase Order, including disputes relating to the supply, installation, or performance of the Banker systems in China Guangzhou, shall first be resolved through good-faith negotiation between the parties. If negotiation fails within 30 days, the dispute shall be submitted to the China International Economic and Trade Arbitration Commission (CIETAC) in Guangzhou for arbitration in accordance with its then-current rules. The arbitral award shall be final and binding upon both parties.</w:t>
      </w:r>
    </w:p>
    <w:bookmarkEnd w:id="26"/>
    <w:bookmarkStart w:id="27" w:name="general-conditions"/>
    <w:p>
      <w:pPr>
        <w:pStyle w:val="Heading2"/>
      </w:pPr>
      <w:r>
        <w:t xml:space="preserve">8. General Conditions</w:t>
      </w:r>
    </w:p>
    <w:p>
      <w:pPr>
        <w:numPr>
          <w:ilvl w:val="0"/>
          <w:numId w:val="1002"/>
        </w:numPr>
        <w:pStyle w:val="Compact"/>
      </w:pPr>
      <w:r>
        <w:t xml:space="preserve">This Purchase Order constitutes the entire agreement between the Buyer and the Seller with respect to the Banker procurement described herein and supersedes all prior negotiations, representations, and agreements.</w:t>
      </w:r>
    </w:p>
    <w:p>
      <w:pPr>
        <w:numPr>
          <w:ilvl w:val="0"/>
          <w:numId w:val="1002"/>
        </w:numPr>
        <w:pStyle w:val="Compact"/>
      </w:pPr>
      <w:r>
        <w:t xml:space="preserve">Neither party may assign its rights or obligations under this Purchase Order without the prior written consent of the other party.</w:t>
      </w:r>
    </w:p>
    <w:p>
      <w:pPr>
        <w:numPr>
          <w:ilvl w:val="0"/>
          <w:numId w:val="1002"/>
        </w:numPr>
        <w:pStyle w:val="Compact"/>
      </w:pPr>
      <w:r>
        <w:t xml:space="preserve">The Seller shall comply with all applicable laws, regulations, and CBIRC/PBOC requirements in the People's Republic of China, including data localisation mandates under the Cybersecurity Law of the PRC, in connection with the Banker systems deployed in Guangzhou.</w:t>
      </w:r>
    </w:p>
    <w:p>
      <w:pPr>
        <w:numPr>
          <w:ilvl w:val="0"/>
          <w:numId w:val="1002"/>
        </w:numPr>
        <w:pStyle w:val="Compact"/>
      </w:pPr>
      <w:r>
        <w:t xml:space="preserve">Time is of the essence. Delays in delivery or commissioning of Banker equipment beyond the dates specified herein shall entitle the Buyer to liquidated damages of 0.5% of the total Purchase Order value per calendar day of delay, up to a maximum of 10%.</w:t>
      </w:r>
    </w:p>
    <w:p>
      <w:pPr>
        <w:numPr>
          <w:ilvl w:val="0"/>
          <w:numId w:val="1002"/>
        </w:numPr>
        <w:pStyle w:val="Compact"/>
      </w:pPr>
      <w:r>
        <w:t xml:space="preserve">All communications regarding this Purchase Order shall be in writing and directed to the contacts listed in Section 1. Electronic communications (email) shall be deemed received on the next business day following transmission.</w:t>
      </w:r>
    </w:p>
    <w:p>
      <w:pPr>
        <w:pStyle w:val="FirstParagraph"/>
      </w:pPr>
      <w:r>
        <w:rPr>
          <w:bCs/>
          <w:b/>
        </w:rPr>
        <w:t xml:space="preserve">NOTICE:</w:t>
      </w:r>
      <w:r>
        <w:t xml:space="preserve"> </w:t>
      </w:r>
      <w:r>
        <w:t xml:space="preserve">This Purchase Order is subject to the Buyer's internal procurement approval and, where applicable, regulatory pre-approval from the CBICR Guangzhou Regional Office. The Seller shall not commence manufacturing, procurement, or shipping of any Banker goods until written confirmation of approval has been received from the Buyer. All Banker equipment must bear the CCC (China Compulsory Certification) mark where applicable.</w:t>
      </w:r>
    </w:p>
    <w:bookmarkEnd w:id="27"/>
    <w:bookmarkStart w:id="28" w:name="authorised-signatures"/>
    <w:p>
      <w:pPr>
        <w:pStyle w:val="Heading2"/>
      </w:pPr>
      <w:r>
        <w:t xml:space="preserve">9. Authorised Signatures</w:t>
      </w:r>
    </w:p>
    <w:p>
      <w:pPr>
        <w:pStyle w:val="FirstParagraph"/>
      </w:pPr>
      <w:r>
        <w:rPr>
          <w:bCs/>
          <w:b/>
        </w:rPr>
        <w:t xml:space="preserve">For and on behalf of the BUYER:</w:t>
      </w:r>
      <w:r>
        <w:br/>
      </w:r>
      <w:r>
        <w:t xml:space="preserve">Guangzhou Pacific Financial Group Co., Ltd.</w:t>
      </w:r>
      <w:r>
        <w:br/>
      </w:r>
      <w:r>
        <w:br/>
      </w:r>
      <w:r>
        <w:t xml:space="preserve">Name: ______________________________</w:t>
      </w:r>
      <w:r>
        <w:br/>
      </w:r>
      <w:r>
        <w:t xml:space="preserve">Title: Procurement Director</w:t>
      </w:r>
      <w:r>
        <w:br/>
      </w:r>
      <w:r>
        <w:t xml:space="preserve">Name: Liang Wei</w:t>
      </w:r>
      <w:r>
        <w:br/>
      </w:r>
      <w:r>
        <w:t xml:space="preserve">Signature: ______________________________</w:t>
      </w:r>
      <w:r>
        <w:br/>
      </w:r>
      <w:r>
        <w:t xml:space="preserve">Date: ______________________________</w:t>
      </w:r>
      <w:r>
        <w:br/>
      </w:r>
      <w:r>
        <w:t xml:space="preserve">Company Seal:</w:t>
      </w:r>
    </w:p>
    <w:p>
      <w:pPr>
        <w:pStyle w:val="BodyText"/>
      </w:pPr>
      <w:r>
        <w:rPr>
          <w:bCs/>
          <w:b/>
        </w:rPr>
        <w:t xml:space="preserve">For and on behalf of the SELLER:</w:t>
      </w:r>
      <w:r>
        <w:br/>
      </w:r>
      <w:r>
        <w:t xml:space="preserve">Meridian Banker Solutions International Ltd.</w:t>
      </w:r>
      <w:r>
        <w:br/>
      </w:r>
      <w:r>
        <w:br/>
      </w:r>
      <w:r>
        <w:t xml:space="preserve">Name: ______________________________</w:t>
      </w:r>
      <w:r>
        <w:br/>
      </w:r>
      <w:r>
        <w:t xml:space="preserve">Title: Regional Account Manager</w:t>
      </w:r>
      <w:r>
        <w:br/>
      </w:r>
      <w:r>
        <w:t xml:space="preserve">Name: Sarah Chen</w:t>
      </w:r>
      <w:r>
        <w:br/>
      </w:r>
      <w:r>
        <w:t xml:space="preserve">Signature: ______________________________</w:t>
      </w:r>
      <w:r>
        <w:br/>
      </w:r>
      <w:r>
        <w:t xml:space="preserve">Date: ______________________________</w:t>
      </w:r>
      <w:r>
        <w:br/>
      </w:r>
      <w:r>
        <w:t xml:space="preserve">Company Seal:</w:t>
      </w:r>
    </w:p>
    <w:p>
      <w:pPr>
        <w:pStyle w:val="BodyText"/>
      </w:pPr>
      <w:r>
        <w:t xml:space="preserve">Purchase Order No. PO-GZ-2025-04872 | Banker Equipment &amp; Services | China Guangzhou</w:t>
      </w:r>
      <w:r>
        <w:br/>
      </w:r>
      <w:r>
        <w:t xml:space="preserve">This document is generated electronically and is valid without a physical signature where both parties have confirmed acceptance via the Buyer's procurement portal.</w:t>
      </w:r>
      <w:r>
        <w:br/>
      </w:r>
      <w:r>
        <w:t xml:space="preserve">© 2025 Guangzhou Pacific Financial Group Co., Ltd. – All Rights Reserved. | Page 1 of 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Equipment &amp; Services - China Guangzhou</dc:title>
  <dc:creator/>
  <dc:language>en</dc:language>
  <cp:keywords/>
  <dcterms:created xsi:type="dcterms:W3CDTF">2026-10-10T07:02:42Z</dcterms:created>
  <dcterms:modified xsi:type="dcterms:W3CDTF">2026-10-10T07:02:42Z</dcterms:modified>
</cp:coreProperties>
</file>

<file path=docProps/custom.xml><?xml version="1.0" encoding="utf-8"?>
<Properties xmlns="http://schemas.openxmlformats.org/officeDocument/2006/custom-properties" xmlns:vt="http://schemas.openxmlformats.org/officeDocument/2006/docPropsVTypes"/>
</file>