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Colombia</w:t>
      </w:r>
      <w:r>
        <w:t xml:space="preserve"> </w:t>
      </w:r>
      <w:r>
        <w:t xml:space="preserve">Bogotá</w:t>
      </w:r>
    </w:p>
    <w:bookmarkStart w:id="20" w:name="purchase-order"/>
    <w:p>
      <w:pPr>
        <w:pStyle w:val="Heading1"/>
      </w:pPr>
      <w:r>
        <w:t xml:space="preserve">PURCHASE ORDER</w:t>
      </w:r>
    </w:p>
    <w:p>
      <w:pPr>
        <w:pStyle w:val="FirstParagraph"/>
      </w:pPr>
      <w:r>
        <w:t xml:space="preserve">Official Procurement Document — Banker Professional Services — Colombia, Bogotá D.C.</w:t>
      </w:r>
    </w:p>
    <w:p>
      <w:pPr>
        <w:pStyle w:val="BodyText"/>
      </w:pPr>
      <w:r>
        <w:t xml:space="preserve">PO-COL-BOG-2025-04782</w:t>
      </w:r>
    </w:p>
    <w:bookmarkEnd w:id="20"/>
    <w:bookmarkStart w:id="21" w:name="issuing-company-buyer"/>
    <w:p>
      <w:pPr>
        <w:pStyle w:val="Heading3"/>
      </w:pPr>
      <w:r>
        <w:t xml:space="preserve">Issuing Company (Buyer)</w:t>
      </w:r>
    </w:p>
    <w:p>
      <w:pPr>
        <w:pStyle w:val="FirstParagraph"/>
      </w:pPr>
      <w:r>
        <w:rPr>
          <w:bCs/>
          <w:b/>
        </w:rPr>
        <w:t xml:space="preserve">Grupo Financiero Andino S.A.</w:t>
      </w:r>
    </w:p>
    <w:p>
      <w:pPr>
        <w:pStyle w:val="BodyText"/>
      </w:pPr>
      <w:r>
        <w:t xml:space="preserve">NIT: 900.456.789-1</w:t>
      </w:r>
    </w:p>
    <w:p>
      <w:pPr>
        <w:pStyle w:val="BodyText"/>
      </w:pPr>
      <w:r>
        <w:t xml:space="preserve">Carrera 15 No. 85-42, Piso 12</w:t>
      </w:r>
    </w:p>
    <w:p>
      <w:pPr>
        <w:pStyle w:val="BodyText"/>
      </w:pPr>
      <w:r>
        <w:t xml:space="preserve">Bogotá D.C., Colombia</w:t>
      </w:r>
    </w:p>
    <w:p>
      <w:pPr>
        <w:pStyle w:val="BodyText"/>
      </w:pPr>
      <w:r>
        <w:t xml:space="preserve">Phone: +57 (601) 743 2890</w:t>
      </w:r>
    </w:p>
    <w:p>
      <w:pPr>
        <w:pStyle w:val="BodyText"/>
      </w:pPr>
      <w:r>
        <w:t xml:space="preserve">Email: procurement@grupofinancieroandino.co</w:t>
      </w:r>
    </w:p>
    <w:bookmarkEnd w:id="21"/>
    <w:bookmarkStart w:id="22" w:name="supplier-service-provider"/>
    <w:p>
      <w:pPr>
        <w:pStyle w:val="Heading3"/>
      </w:pPr>
      <w:r>
        <w:t xml:space="preserve">Supplier / Service Provider</w:t>
      </w:r>
    </w:p>
    <w:p>
      <w:pPr>
        <w:pStyle w:val="FirstParagraph"/>
      </w:pPr>
      <w:r>
        <w:rPr>
          <w:bCs/>
          <w:b/>
        </w:rPr>
        <w:t xml:space="preserve">Banker Solutions Colombia S.A.S.</w:t>
      </w:r>
    </w:p>
    <w:p>
      <w:pPr>
        <w:pStyle w:val="BodyText"/>
      </w:pPr>
      <w:r>
        <w:t xml:space="preserve">NIT: 901.234.567-3</w:t>
      </w:r>
    </w:p>
    <w:p>
      <w:pPr>
        <w:pStyle w:val="BodyText"/>
      </w:pPr>
      <w:r>
        <w:t xml:space="preserve">Calle 100 No. 15A-30, Torre B, Piso 8</w:t>
      </w:r>
    </w:p>
    <w:p>
      <w:pPr>
        <w:pStyle w:val="BodyText"/>
      </w:pPr>
      <w:r>
        <w:t xml:space="preserve">Bogotá D.C., Colombia</w:t>
      </w:r>
    </w:p>
    <w:p>
      <w:pPr>
        <w:pStyle w:val="BodyText"/>
      </w:pPr>
      <w:r>
        <w:t xml:space="preserve">Phone: +57 (601) 555 7744</w:t>
      </w:r>
    </w:p>
    <w:p>
      <w:pPr>
        <w:pStyle w:val="BodyText"/>
      </w:pPr>
      <w:r>
        <w:t xml:space="preserve">Email: contracts@bankersolutionscolombia.co</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Purchase Order Number:</w:t>
            </w:r>
          </w:p>
        </w:tc>
        <w:tc>
          <w:tcPr/>
          <w:p>
            <w:pPr>
              <w:pStyle w:val="Compact"/>
              <w:jc w:val="left"/>
            </w:pPr>
            <w:r>
              <w:t xml:space="preserve">PO-COL-BOG-2025-04782</w:t>
            </w:r>
          </w:p>
        </w:tc>
        <w:tc>
          <w:tcPr/>
          <w:p>
            <w:pPr>
              <w:pStyle w:val="Compact"/>
              <w:jc w:val="left"/>
            </w:pPr>
            <w:r>
              <w:t xml:space="preserve">Date of Issue:</w:t>
            </w:r>
          </w:p>
        </w:tc>
        <w:tc>
          <w:tcPr/>
          <w:p>
            <w:pPr>
              <w:pStyle w:val="Compact"/>
              <w:jc w:val="left"/>
            </w:pPr>
            <w:r>
              <w:t xml:space="preserve">June 12, 2025</w:t>
            </w:r>
          </w:p>
        </w:tc>
      </w:tr>
      <w:tr>
        <w:tc>
          <w:tcPr/>
          <w:p>
            <w:pPr>
              <w:pStyle w:val="Compact"/>
              <w:jc w:val="left"/>
            </w:pPr>
            <w:r>
              <w:t xml:space="preserve">Delivery Location:</w:t>
            </w:r>
          </w:p>
        </w:tc>
        <w:tc>
          <w:tcPr/>
          <w:p>
            <w:pPr>
              <w:pStyle w:val="Compact"/>
              <w:jc w:val="left"/>
            </w:pPr>
            <w:r>
              <w:t xml:space="preserve">Bogotá D.C., Colombia</w:t>
            </w:r>
          </w:p>
        </w:tc>
        <w:tc>
          <w:tcPr/>
          <w:p>
            <w:pPr>
              <w:pStyle w:val="Compact"/>
              <w:jc w:val="left"/>
            </w:pPr>
            <w:r>
              <w:t xml:space="preserve">Required By:</w:t>
            </w:r>
          </w:p>
        </w:tc>
        <w:tc>
          <w:tcPr/>
          <w:p>
            <w:pPr>
              <w:pStyle w:val="Compact"/>
              <w:jc w:val="left"/>
            </w:pPr>
            <w:r>
              <w:t xml:space="preserve">July 15, 2025</w:t>
            </w:r>
          </w:p>
        </w:tc>
      </w:tr>
      <w:tr>
        <w:tc>
          <w:tcPr/>
          <w:p>
            <w:pPr>
              <w:pStyle w:val="Compact"/>
              <w:jc w:val="left"/>
            </w:pPr>
            <w:r>
              <w:t xml:space="preserve">Payment Terms:</w:t>
            </w:r>
          </w:p>
        </w:tc>
        <w:tc>
          <w:tcPr/>
          <w:p>
            <w:pPr>
              <w:pStyle w:val="Compact"/>
              <w:jc w:val="left"/>
            </w:pPr>
            <w:r>
              <w:t xml:space="preserve">Net 30 days from invoice</w:t>
            </w:r>
          </w:p>
        </w:tc>
        <w:tc>
          <w:tcPr/>
          <w:p>
            <w:pPr>
              <w:pStyle w:val="Compact"/>
              <w:jc w:val="left"/>
            </w:pPr>
            <w:r>
              <w:t xml:space="preserve">Currency:</w:t>
            </w:r>
          </w:p>
        </w:tc>
        <w:tc>
          <w:tcPr/>
          <w:p>
            <w:pPr>
              <w:pStyle w:val="Compact"/>
              <w:jc w:val="left"/>
            </w:pPr>
            <w:r>
              <w:t xml:space="preserve">COP (Colombian Peso)</w:t>
            </w:r>
          </w:p>
        </w:tc>
      </w:tr>
      <w:tr>
        <w:tc>
          <w:tcPr/>
          <w:p>
            <w:pPr>
              <w:pStyle w:val="Compact"/>
              <w:jc w:val="left"/>
            </w:pPr>
            <w:r>
              <w:t xml:space="preserve">Valid Until:</w:t>
            </w:r>
          </w:p>
        </w:tc>
        <w:tc>
          <w:tcPr/>
          <w:p>
            <w:pPr>
              <w:pStyle w:val="Compact"/>
              <w:jc w:val="left"/>
            </w:pPr>
            <w:r>
              <w:t xml:space="preserve">July 12, 2025</w:t>
            </w:r>
          </w:p>
        </w:tc>
        <w:tc>
          <w:tcPr/>
          <w:p>
            <w:pPr>
              <w:pStyle w:val="Compact"/>
              <w:jc w:val="left"/>
            </w:pPr>
            <w:r>
              <w:t xml:space="preserve">Reference:</w:t>
            </w:r>
          </w:p>
        </w:tc>
        <w:tc>
          <w:tcPr/>
          <w:p>
            <w:pPr>
              <w:pStyle w:val="Compact"/>
              <w:jc w:val="left"/>
            </w:pPr>
            <w:r>
              <w:t xml:space="preserve">Contract Ref. GFA-BNK-2025-114</w:t>
            </w:r>
          </w:p>
        </w:tc>
      </w:tr>
    </w:tbl>
    <w:bookmarkStart w:id="23" w:name="line-items-banker-services-procured"/>
    <w:p>
      <w:pPr>
        <w:pStyle w:val="Heading2"/>
      </w:pPr>
      <w:r>
        <w:t xml:space="preserve">Line Items — Banker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01</w:t>
            </w:r>
          </w:p>
        </w:tc>
        <w:tc>
          <w:tcPr/>
          <w:p>
            <w:pPr>
              <w:pStyle w:val="Compact"/>
              <w:jc w:val="left"/>
            </w:pPr>
            <w:r>
              <w:t xml:space="preserve">Senior Banker — Corporate Treasury Advisory (Full-time engagement, 12 months). The Banker shall provide strategic financial oversight, liquidity management, and capital allocation guidance for all Bogotá-based operations.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02</w:t>
            </w:r>
          </w:p>
        </w:tc>
        <w:tc>
          <w:tcPr/>
          <w:p>
            <w:pPr>
              <w:pStyle w:val="Compact"/>
              <w:jc w:val="left"/>
            </w:pPr>
            <w:r>
              <w:t xml:space="preserve">Associate Banker — Retail Banking Operations (Full-time engagement, 12 months). The Banker shall manage client portfolios, credit assessments, and regulatory compliance in accordance with the Superintendencia Financiera de Colombia standards.</w:t>
            </w:r>
          </w:p>
        </w:tc>
        <w:tc>
          <w:tcPr/>
          <w:p>
            <w:pPr>
              <w:pStyle w:val="Compact"/>
              <w:jc w:val="left"/>
            </w:pPr>
            <w:r>
              <w:t xml:space="preserve">2</w:t>
            </w:r>
          </w:p>
        </w:tc>
        <w:tc>
          <w:tcPr/>
          <w:p>
            <w:pPr>
              <w:pStyle w:val="Compact"/>
              <w:jc w:val="left"/>
            </w:pPr>
            <w:r>
              <w:t xml:space="preserve">Contracts</w:t>
            </w:r>
          </w:p>
        </w:tc>
        <w:tc>
          <w:tcPr/>
          <w:p>
            <w:pPr>
              <w:pStyle w:val="Compact"/>
              <w:jc w:val="left"/>
            </w:pPr>
            <w:r>
              <w:t xml:space="preserve">42,000,000</w:t>
            </w:r>
          </w:p>
        </w:tc>
        <w:tc>
          <w:tcPr/>
          <w:p>
            <w:pPr>
              <w:pStyle w:val="Compact"/>
              <w:jc w:val="left"/>
            </w:pPr>
            <w:r>
              <w:t xml:space="preserve">84,000,000</w:t>
            </w:r>
          </w:p>
        </w:tc>
      </w:tr>
      <w:tr>
        <w:tc>
          <w:tcPr/>
          <w:p>
            <w:pPr>
              <w:pStyle w:val="Compact"/>
              <w:jc w:val="left"/>
            </w:pPr>
            <w:r>
              <w:t xml:space="preserve">03</w:t>
            </w:r>
          </w:p>
        </w:tc>
        <w:tc>
          <w:tcPr/>
          <w:p>
            <w:pPr>
              <w:pStyle w:val="Compact"/>
              <w:jc w:val="left"/>
            </w:pPr>
            <w:r>
              <w:t xml:space="preserve">Banker Training &amp; Certification Program — "Bogotá Financial Excellence" curriculum. Includes 160 hours of instruction on Colombian banking regulations, anti-money laundering protocols, and digital banking transformation.</w:t>
            </w:r>
          </w:p>
        </w:tc>
        <w:tc>
          <w:tcPr/>
          <w:p>
            <w:pPr>
              <w:pStyle w:val="Compact"/>
              <w:jc w:val="left"/>
            </w:pPr>
            <w:r>
              <w:t xml:space="preserve">1</w:t>
            </w:r>
          </w:p>
        </w:tc>
        <w:tc>
          <w:tcPr/>
          <w:p>
            <w:pPr>
              <w:pStyle w:val="Compact"/>
              <w:jc w:val="left"/>
            </w:pPr>
            <w:r>
              <w:t xml:space="preserve">Program</w:t>
            </w:r>
          </w:p>
        </w:tc>
        <w:tc>
          <w:tcPr/>
          <w:p>
            <w:pPr>
              <w:pStyle w:val="Compact"/>
              <w:jc w:val="left"/>
            </w:pPr>
            <w:r>
              <w:t xml:space="preserve">28,500,000</w:t>
            </w:r>
          </w:p>
        </w:tc>
        <w:tc>
          <w:tcPr/>
          <w:p>
            <w:pPr>
              <w:pStyle w:val="Compact"/>
              <w:jc w:val="left"/>
            </w:pPr>
            <w:r>
              <w:t xml:space="preserve">28,500,000</w:t>
            </w:r>
          </w:p>
        </w:tc>
      </w:tr>
      <w:tr>
        <w:tc>
          <w:tcPr/>
          <w:p>
            <w:pPr>
              <w:pStyle w:val="Compact"/>
              <w:jc w:val="left"/>
            </w:pPr>
            <w:r>
              <w:t xml:space="preserve">04</w:t>
            </w:r>
          </w:p>
        </w:tc>
        <w:tc>
          <w:tcPr/>
          <w:p>
            <w:pPr>
              <w:pStyle w:val="Compact"/>
              <w:jc w:val="left"/>
            </w:pPr>
            <w:r>
              <w:t xml:space="preserve">Banker Performance Analytics Platform — Annual license for 10 user seats. Real-time KPI dashboard for monitoring banker productivity, client acquisition metrics, and risk exposure across all Bogotá branches.</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18,750,000</w:t>
            </w:r>
          </w:p>
        </w:tc>
        <w:tc>
          <w:tcPr/>
          <w:p>
            <w:pPr>
              <w:pStyle w:val="Compact"/>
              <w:jc w:val="left"/>
            </w:pPr>
            <w:r>
              <w:t xml:space="preserve">18,750,000</w:t>
            </w:r>
          </w:p>
        </w:tc>
      </w:tr>
      <w:tr>
        <w:tc>
          <w:tcPr/>
          <w:p>
            <w:pPr>
              <w:pStyle w:val="Compact"/>
              <w:jc w:val="left"/>
            </w:pPr>
            <w:r>
              <w:t xml:space="preserve">05</w:t>
            </w:r>
          </w:p>
        </w:tc>
        <w:tc>
          <w:tcPr/>
          <w:p>
            <w:pPr>
              <w:pStyle w:val="Compact"/>
              <w:jc w:val="left"/>
            </w:pPr>
            <w:r>
              <w:t xml:space="preserve">Banker Professional Liability Insurance — Annual coverage per Colombian insurance regulations (Ley 1328 de 2009). Covers all Banker personnel engaged under this Purchase Order.</w:t>
            </w:r>
          </w:p>
        </w:tc>
        <w:tc>
          <w:tcPr/>
          <w:p>
            <w:pPr>
              <w:pStyle w:val="Compact"/>
              <w:jc w:val="left"/>
            </w:pPr>
            <w:r>
              <w:t xml:space="preserve">3</w:t>
            </w:r>
          </w:p>
        </w:tc>
        <w:tc>
          <w:tcPr/>
          <w:p>
            <w:pPr>
              <w:pStyle w:val="Compact"/>
              <w:jc w:val="left"/>
            </w:pPr>
            <w:r>
              <w:t xml:space="preserve">Policies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06</w:t>
            </w:r>
          </w:p>
        </w:tc>
        <w:tc>
          <w:tcPr/>
          <w:p>
            <w:pPr>
              <w:pStyle w:val="Compact"/>
              <w:jc w:val="left"/>
            </w:pPr>
            <w:r>
              <w:t xml:space="preserve">Banker Office Equipment &amp; Ergonomic Workstations — Delivery and installation at Bogotá D.C. headquarters. Includes dual-monitor setups, secure document management hardware, and encrypted communication devices.</w:t>
            </w:r>
          </w:p>
        </w:tc>
        <w:tc>
          <w:tcPr/>
          <w:p>
            <w:pPr>
              <w:pStyle w:val="Compact"/>
              <w:jc w:val="left"/>
            </w:pPr>
            <w:r>
              <w:t xml:space="preserve">5</w:t>
            </w:r>
          </w:p>
        </w:tc>
        <w:tc>
          <w:tcPr/>
          <w:p>
            <w:pPr>
              <w:pStyle w:val="Compact"/>
              <w:jc w:val="left"/>
            </w:pPr>
            <w:r>
              <w:t xml:space="preserve">Stations</w:t>
            </w:r>
          </w:p>
        </w:tc>
        <w:tc>
          <w:tcPr/>
          <w:p>
            <w:pPr>
              <w:pStyle w:val="Compact"/>
              <w:jc w:val="left"/>
            </w:pPr>
            <w:r>
              <w:t xml:space="preserve">6,800,000</w:t>
            </w:r>
          </w:p>
        </w:tc>
        <w:tc>
          <w:tcPr/>
          <w:p>
            <w:pPr>
              <w:pStyle w:val="Compact"/>
              <w:jc w:val="left"/>
            </w:pPr>
            <w:r>
              <w:t xml:space="preserve">34,000,000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COP 262,850,000</w:t>
            </w:r>
          </w:p>
        </w:tc>
      </w:tr>
      <w:tr>
        <w:tc>
          <w:tcPr/>
          <w:p>
            <w:pPr>
              <w:pStyle w:val="Compact"/>
              <w:jc w:val="left"/>
            </w:pPr>
            <w:r>
              <w:t xml:space="preserve">IVA (19% — Colombian Value Added Tax):</w:t>
            </w:r>
          </w:p>
        </w:tc>
        <w:tc>
          <w:tcPr/>
          <w:p>
            <w:pPr>
              <w:pStyle w:val="Compact"/>
              <w:jc w:val="left"/>
            </w:pPr>
            <w:r>
              <w:t xml:space="preserve">COP 49,941,500</w:t>
            </w:r>
          </w:p>
        </w:tc>
      </w:tr>
      <w:tr>
        <w:tc>
          <w:tcPr/>
          <w:p>
            <w:pPr>
              <w:pStyle w:val="Compact"/>
              <w:jc w:val="left"/>
            </w:pPr>
            <w:r>
              <w:t xml:space="preserve">Delivery &amp; Installation (Bogotá D.C.):</w:t>
            </w:r>
          </w:p>
        </w:tc>
        <w:tc>
          <w:tcPr/>
          <w:p>
            <w:pPr>
              <w:pStyle w:val="Compact"/>
              <w:jc w:val="left"/>
            </w:pPr>
            <w:r>
              <w:t xml:space="preserve">COP 3,500,000</w:t>
            </w:r>
          </w:p>
        </w:tc>
      </w:tr>
      <w:tr>
        <w:tc>
          <w:tcPr/>
          <w:p>
            <w:pPr>
              <w:pStyle w:val="Compact"/>
              <w:jc w:val="left"/>
            </w:pPr>
            <w:r>
              <w:t xml:space="preserve">GRAND TOTAL:</w:t>
            </w:r>
          </w:p>
        </w:tc>
        <w:tc>
          <w:tcPr/>
          <w:p>
            <w:pPr>
              <w:pStyle w:val="Compact"/>
              <w:jc w:val="left"/>
            </w:pPr>
            <w:r>
              <w:t xml:space="preserve">COP 316,291,500</w:t>
            </w:r>
          </w:p>
        </w:tc>
      </w:tr>
    </w:tbl>
    <w:bookmarkEnd w:id="23"/>
    <w:bookmarkStart w:id="24" w:name="terms-and-conditions"/>
    <w:p>
      <w:pPr>
        <w:pStyle w:val="Heading2"/>
      </w:pPr>
      <w:r>
        <w:t xml:space="preserve">Terms and Conditions</w:t>
      </w:r>
    </w:p>
    <w:p>
      <w:pPr>
        <w:pStyle w:val="FirstParagraph"/>
      </w:pPr>
      <w:r>
        <w:rPr>
          <w:bCs/>
          <w:b/>
        </w:rPr>
        <w:t xml:space="preserve">1. Scope of Engagement.</w:t>
      </w:r>
      <w:r>
        <w:t xml:space="preserve"> </w:t>
      </w:r>
      <w:r>
        <w:t xml:space="preserve">This Purchase Order authorizes the procurement of Banker professional services, training programs, technology licenses, and associated equipment as itemized above. All Banker personnel engaged under this order shall operate exclusively within the jurisdiction of Bogotá D.C., Colombia, and shall comply with all applicable regulations issued by the Superintendencia Financiera de Colombia (SFC) and the Banco de la República.</w:t>
      </w:r>
    </w:p>
    <w:p>
      <w:pPr>
        <w:pStyle w:val="BodyText"/>
      </w:pPr>
      <w:r>
        <w:rPr>
          <w:bCs/>
          <w:b/>
        </w:rPr>
        <w:t xml:space="preserve">2. Delivery and Commencement.</w:t>
      </w:r>
      <w:r>
        <w:t xml:space="preserve"> </w:t>
      </w:r>
      <w:r>
        <w:t xml:space="preserve">All Banker personnel shall report for duty no later than July 15, 2025, at the issuing company's headquarters located in Bogotá D.C. Equipment and technology licenses shall be delivered, installed, and operational within ten (10) business days of the effective date of this Purchase Order.</w:t>
      </w:r>
    </w:p>
    <w:p>
      <w:pPr>
        <w:pStyle w:val="BodyText"/>
      </w:pPr>
      <w:r>
        <w:rPr>
          <w:bCs/>
          <w:b/>
        </w:rPr>
        <w:t xml:space="preserve">3. Payment Terms.</w:t>
      </w:r>
      <w:r>
        <w:t xml:space="preserve"> </w:t>
      </w:r>
      <w:r>
        <w:t xml:space="preserve">Payment shall be made within thirty (30) calendar days from the date of receipt of a valid invoice. All payments shall be processed in Colombian Pesos (COP) via electronic bank transfer to the supplier's designated account in Bogotá. Late payments shall accrue interest at the maximum rate established by the Banco de la República.</w:t>
      </w:r>
    </w:p>
    <w:p>
      <w:pPr>
        <w:pStyle w:val="BodyText"/>
      </w:pPr>
      <w:r>
        <w:rPr>
          <w:bCs/>
          <w:b/>
        </w:rPr>
        <w:t xml:space="preserve">4. Compliance and Regulatory Obligations.</w:t>
      </w:r>
      <w:r>
        <w:t xml:space="preserve"> </w:t>
      </w:r>
      <w:r>
        <w:t xml:space="preserve">The supplier guarantees that all Banker professionals engaged under this Purchase Order hold valid professional certifications recognized in Colombia. The supplier shall ensure full compliance with Colombian labor law (Código Sustantivo del Trabajo), tax obligations (Estatuto Tributario), and financial sector regulations. Any violation shall constitute grounds for immediate termination of this Purchase Order.</w:t>
      </w:r>
    </w:p>
    <w:p>
      <w:pPr>
        <w:pStyle w:val="BodyText"/>
      </w:pPr>
      <w:r>
        <w:rPr>
          <w:bCs/>
          <w:b/>
        </w:rPr>
        <w:t xml:space="preserve">5. Confidentiality and Data Protection.</w:t>
      </w:r>
      <w:r>
        <w:t xml:space="preserve"> </w:t>
      </w:r>
      <w:r>
        <w:t xml:space="preserve">All Banker personnel shall execute non-disclosure agreements in accordance with Ley 1581 de 2012 (Colombian Data Protection Law). Client financial data, transaction records, and proprietary banking strategies shall remain strictly confidential and shall not be disclosed to any third party without written authorization from Grupo Financiero Andino S.A.</w:t>
      </w:r>
    </w:p>
    <w:p>
      <w:pPr>
        <w:pStyle w:val="BodyText"/>
      </w:pPr>
      <w:r>
        <w:rPr>
          <w:bCs/>
          <w:b/>
        </w:rPr>
        <w:t xml:space="preserve">6. Termination and Cancellation.</w:t>
      </w:r>
      <w:r>
        <w:t xml:space="preserve"> </w:t>
      </w:r>
      <w:r>
        <w:t xml:space="preserve">Either party may terminate this Purchase Order with thirty (30) days' written notice. In the event of early termination, the supplier shall be compensated for services rendered up to the termination date. Cancellation fees of 15% of the remaining contract value shall apply if the issuing company cancels without cause after the first thirty days.</w:t>
      </w:r>
    </w:p>
    <w:p>
      <w:pPr>
        <w:pStyle w:val="BodyText"/>
      </w:pPr>
      <w:r>
        <w:rPr>
          <w:bCs/>
          <w:b/>
        </w:rPr>
        <w:t xml:space="preserve">7. Governing Law and Jurisdiction.</w:t>
      </w:r>
      <w:r>
        <w:t xml:space="preserve"> </w:t>
      </w:r>
      <w:r>
        <w:t xml:space="preserve">This Purchase Order shall be governed by and construed in accordance with the commercial laws of the Republic of Colombia. Any disputes arising from this document shall be resolved by the competent commercial courts of Bogotá D.C., Colombia, or by arbitration before the Centro de Arbitraje y Conciliación de la Cámara de Comercio de Bogotá, at the election of the aggrieved party.</w:t>
      </w:r>
    </w:p>
    <w:p>
      <w:pPr>
        <w:pStyle w:val="BodyText"/>
      </w:pPr>
      <w:r>
        <w:rPr>
          <w:bCs/>
          <w:b/>
        </w:rPr>
        <w:t xml:space="preserve">8. Force Majeure.</w:t>
      </w:r>
      <w:r>
        <w:t xml:space="preserve"> </w:t>
      </w:r>
      <w:r>
        <w:t xml:space="preserve">Neither party shall be liable for failure to perform obligations under this Purchase Order due to events beyond reasonable control, including but not limited to natural disasters, government mandates, or systemic financial disruptions affecting the Bogotá metropolitan area.</w:t>
      </w:r>
    </w:p>
    <w:p>
      <w:pPr>
        <w:pStyle w:val="BodyText"/>
      </w:pPr>
      <w:r>
        <w:rPr>
          <w:bCs/>
          <w:b/>
        </w:rPr>
        <w:t xml:space="preserve">Authorized Signatory — Buyer</w:t>
      </w:r>
      <w:r>
        <w:br/>
      </w:r>
      <w:r>
        <w:t xml:space="preserve">Grupo Financiero Andino S.A.</w:t>
      </w:r>
      <w:r>
        <w:br/>
      </w:r>
      <w:r>
        <w:t xml:space="preserve">Name: _________________________</w:t>
      </w:r>
      <w:r>
        <w:br/>
      </w:r>
      <w:r>
        <w:t xml:space="preserve">Title: Director de Compras</w:t>
      </w:r>
      <w:r>
        <w:br/>
      </w:r>
      <w:r>
        <w:t xml:space="preserve">Date: _________________________</w:t>
      </w:r>
    </w:p>
    <w:p>
      <w:pPr>
        <w:pStyle w:val="BodyText"/>
      </w:pPr>
      <w:r>
        <w:rPr>
          <w:bCs/>
          <w:b/>
        </w:rPr>
        <w:t xml:space="preserve">Authorized Signatory — Supplier</w:t>
      </w:r>
      <w:r>
        <w:br/>
      </w:r>
      <w:r>
        <w:t xml:space="preserve">Banker Solutions Colombia S.A.S.</w:t>
      </w:r>
      <w:r>
        <w:br/>
      </w:r>
      <w:r>
        <w:t xml:space="preserve">Name: _________________________</w:t>
      </w:r>
      <w:r>
        <w:br/>
      </w:r>
      <w:r>
        <w:t xml:space="preserve">Title: Gerente Comercial</w:t>
      </w:r>
      <w:r>
        <w:br/>
      </w:r>
      <w:r>
        <w:t xml:space="preserve">Date: _________________________</w:t>
      </w:r>
    </w:p>
    <w:p>
      <w:pPr>
        <w:pStyle w:val="BodyText"/>
      </w:pPr>
      <w:r>
        <w:t xml:space="preserve">This Purchase Order is a legally binding document issued in accordance with Colombian commercial law. Document reference: PO-COL-BOG-2025-04782. Issued in Bogotá D.C., Colombia. This document is valid only when signed and stamped by both parties. Unauthorized reproduction or distribution is prohibited under Colombian intellectual property law (Ley 23 de 1982).</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 Colombia Bogotá</dc:title>
  <dc:creator/>
  <dc:language>en</dc:language>
  <cp:keywords/>
  <dcterms:created xsi:type="dcterms:W3CDTF">2026-10-10T01:59:42Z</dcterms:created>
  <dcterms:modified xsi:type="dcterms:W3CDTF">2026-10-10T01:59:42Z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