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Equipment</w:t>
      </w:r>
      <w:r>
        <w:t xml:space="preserve"> </w:t>
      </w:r>
      <w:r>
        <w:t xml:space="preserve">and</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1" w:name="purchase-order"/>
    <w:p>
      <w:pPr>
        <w:pStyle w:val="Heading1"/>
      </w:pPr>
      <w:r>
        <w:t xml:space="preserve">PURCHASE ORDER</w:t>
      </w:r>
    </w:p>
    <w:bookmarkStart w:id="20" w:name="X16923a3223e80883d764cbba761cb9a7200ed52"/>
    <w:p>
      <w:pPr>
        <w:pStyle w:val="Heading2"/>
      </w:pPr>
      <w:r>
        <w:t xml:space="preserve">Banker Equipment, Furniture &amp; Financial Services Procurement</w:t>
      </w:r>
    </w:p>
    <w:p>
      <w:pPr>
        <w:pStyle w:val="FirstParagraph"/>
      </w:pPr>
      <w:r>
        <w:rPr>
          <w:bCs/>
          <w:b/>
        </w:rPr>
        <w:t xml:space="preserve">Grupo Financiero Andino S.A.</w:t>
      </w:r>
      <w:r>
        <w:t xml:space="preserve"> </w:t>
      </w:r>
      <w:r>
        <w:t xml:space="preserve">— Medellín, Colombia</w:t>
      </w:r>
    </w:p>
    <w:bookmarkEnd w:id="20"/>
    <w:bookmarkEnd w:id="21"/>
    <w:tbl>
      <w:tblPr>
        <w:tblStyle w:val="Table"/>
        <w:tblW w:type="pct" w:w="500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PO-MDE-2025-04871</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Buyer (Purchasing Entity):</w:t>
            </w:r>
          </w:p>
        </w:tc>
        <w:tc>
          <w:tcPr/>
          <w:p>
            <w:pPr>
              <w:pStyle w:val="Compact"/>
              <w:jc w:val="left"/>
            </w:pPr>
            <w:r>
              <w:t xml:space="preserve">Grupo Financiero Andino S.A.</w:t>
            </w:r>
            <w:r>
              <w:br/>
            </w:r>
            <w:r>
              <w:t xml:space="preserve">Calle 43 # 49A-120, El Poblado</w:t>
            </w:r>
            <w:r>
              <w:br/>
            </w:r>
            <w:r>
              <w:t xml:space="preserve">Medellín, Antioquia, Colombia</w:t>
            </w:r>
            <w:r>
              <w:br/>
            </w:r>
            <w:r>
              <w:t xml:space="preserve">NIT: 900.456.789-1</w:t>
            </w:r>
            <w:r>
              <w:br/>
            </w:r>
            <w:r>
              <w:t xml:space="preserve">Phone: +57 (604) 444 5566</w:t>
            </w:r>
          </w:p>
        </w:tc>
        <w:tc>
          <w:tcPr/>
          <w:p>
            <w:pPr>
              <w:pStyle w:val="Compact"/>
              <w:jc w:val="left"/>
            </w:pPr>
            <w:r>
              <w:t xml:space="preserve">Vendor (Supplier):</w:t>
            </w:r>
          </w:p>
        </w:tc>
        <w:tc>
          <w:tcPr/>
          <w:p>
            <w:pPr>
              <w:pStyle w:val="Compact"/>
              <w:jc w:val="left"/>
            </w:pPr>
            <w:r>
              <w:t xml:space="preserve">Banker Solutions &amp; Equipos Financieros Ltda.</w:t>
            </w:r>
            <w:r>
              <w:br/>
            </w:r>
            <w:r>
              <w:t xml:space="preserve">Carrera 50 # 25-180, Laureles</w:t>
            </w:r>
            <w:r>
              <w:br/>
            </w:r>
            <w:r>
              <w:t xml:space="preserve">Medellín, Antioquia, Colombia</w:t>
            </w:r>
            <w:r>
              <w:br/>
            </w:r>
            <w:r>
              <w:t xml:space="preserve">NIT: 830.123.456-7</w:t>
            </w:r>
            <w:r>
              <w:br/>
            </w:r>
            <w:r>
              <w:t xml:space="preserve">Phone: +57 (604) 333 7788</w:t>
            </w:r>
          </w:p>
        </w:tc>
      </w:tr>
      <w:tr>
        <w:tc>
          <w:tcPr/>
          <w:p>
            <w:pPr>
              <w:pStyle w:val="Compact"/>
              <w:jc w:val="left"/>
            </w:pPr>
            <w:r>
              <w:t xml:space="preserve">Delivery Location:</w:t>
            </w:r>
          </w:p>
        </w:tc>
        <w:tc>
          <w:tcPr/>
          <w:p>
            <w:pPr>
              <w:pStyle w:val="Compact"/>
              <w:jc w:val="left"/>
            </w:pPr>
            <w:r>
              <w:t xml:space="preserve">Corporate Headquarters, Calle 43 # 49A-120, El Poblado, Medellín, Colombia</w:t>
            </w:r>
          </w:p>
        </w:tc>
        <w:tc>
          <w:tcPr/>
          <w:p>
            <w:pPr>
              <w:pStyle w:val="Compact"/>
              <w:jc w:val="left"/>
            </w:pPr>
            <w:r>
              <w:t xml:space="preserve">Delivery Deadline:</w:t>
            </w:r>
          </w:p>
        </w:tc>
        <w:tc>
          <w:tcPr/>
          <w:p>
            <w:pPr>
              <w:pStyle w:val="Compact"/>
              <w:jc w:val="left"/>
            </w:pPr>
            <w:r>
              <w:t xml:space="preserve">July 15, 2025</w:t>
            </w:r>
          </w:p>
        </w:tc>
      </w:tr>
      <w:tr>
        <w:tc>
          <w:tcPr/>
          <w:p>
            <w:pPr>
              <w:pStyle w:val="Compact"/>
              <w:jc w:val="left"/>
            </w:pPr>
            <w:r>
              <w:t xml:space="preserve">Payment Terms:</w:t>
            </w:r>
          </w:p>
        </w:tc>
        <w:tc>
          <w:tcPr/>
          <w:p>
            <w:pPr>
              <w:pStyle w:val="Compact"/>
              <w:jc w:val="left"/>
            </w:pPr>
            <w:r>
              <w:t xml:space="preserve">Net 30 days from invoice date, via bank transfer (Daviplata / Bancolombia)</w:t>
            </w:r>
          </w:p>
        </w:tc>
        <w:tc>
          <w:tcPr/>
          <w:p>
            <w:pPr>
              <w:pStyle w:val="Compact"/>
              <w:jc w:val="left"/>
            </w:pPr>
            <w:r>
              <w:t xml:space="preserve">Currency:</w:t>
            </w:r>
          </w:p>
        </w:tc>
        <w:tc>
          <w:tcPr/>
          <w:p>
            <w:pPr>
              <w:pStyle w:val="Compact"/>
              <w:jc w:val="left"/>
            </w:pPr>
            <w:r>
              <w:t xml:space="preserve">COP (Colombian Peso)</w:t>
            </w:r>
          </w:p>
        </w:tc>
      </w:tr>
    </w:tbl>
    <w:p>
      <w:pPr>
        <w:pStyle w:val="BodyText"/>
      </w:pPr>
      <w:r>
        <w:t xml:space="preserve">PURCHASE ORDER LINE ITEMS — Banker Equipment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1</w:t>
            </w:r>
          </w:p>
        </w:tc>
        <w:tc>
          <w:tcPr/>
          <w:p>
            <w:pPr>
              <w:pStyle w:val="Compact"/>
              <w:jc w:val="left"/>
            </w:pPr>
            <w:r>
              <w:rPr>
                <w:bCs/>
                <w:b/>
              </w:rPr>
              <w:t xml:space="preserve">Banker's Executive Desk</w:t>
            </w:r>
            <w:r>
              <w:t xml:space="preserve"> </w:t>
            </w:r>
            <w:r>
              <w:t xml:space="preserve">— Solid mahogany wood, 220cm x 110cm, with integrated cable management, leather inlay, and dual-drawer lockable compartments. Designed for the Chief Banker's office at the Medellín headquarters. Model: BS-EXEC-220.</w:t>
            </w:r>
          </w:p>
        </w:tc>
        <w:tc>
          <w:tcPr/>
          <w:p>
            <w:pPr>
              <w:pStyle w:val="Compact"/>
              <w:jc w:val="left"/>
            </w:pPr>
            <w:r>
              <w:t xml:space="preserve">3</w:t>
            </w:r>
          </w:p>
        </w:tc>
        <w:tc>
          <w:tcPr/>
          <w:p>
            <w:pPr>
              <w:pStyle w:val="Compact"/>
              <w:jc w:val="left"/>
            </w:pPr>
            <w:r>
              <w:t xml:space="preserve">18,500,000</w:t>
            </w:r>
          </w:p>
        </w:tc>
        <w:tc>
          <w:tcPr/>
          <w:p>
            <w:pPr>
              <w:pStyle w:val="Compact"/>
              <w:jc w:val="left"/>
            </w:pPr>
            <w:r>
              <w:t xml:space="preserve">55,500,000</w:t>
            </w:r>
          </w:p>
        </w:tc>
      </w:tr>
      <w:tr>
        <w:tc>
          <w:tcPr/>
          <w:p>
            <w:pPr>
              <w:pStyle w:val="Compact"/>
              <w:jc w:val="left"/>
            </w:pPr>
            <w:r>
              <w:t xml:space="preserve">2</w:t>
            </w:r>
          </w:p>
        </w:tc>
        <w:tc>
          <w:tcPr/>
          <w:p>
            <w:pPr>
              <w:pStyle w:val="Compact"/>
              <w:jc w:val="left"/>
            </w:pPr>
            <w:r>
              <w:rPr>
                <w:bCs/>
                <w:b/>
              </w:rPr>
              <w:t xml:space="preserve">Banker's Desk Lamp</w:t>
            </w:r>
            <w:r>
              <w:t xml:space="preserve"> </w:t>
            </w:r>
            <w:r>
              <w:t xml:space="preserve">— Classic banker's lamp with green glass shade, brass base, adjustable arm, and LED bulb (2700K warm white). Suitable for the banker's workspace in the Medellín financial district. Model: BS-LAMP-LED-01.</w:t>
            </w:r>
          </w:p>
        </w:tc>
        <w:tc>
          <w:tcPr/>
          <w:p>
            <w:pPr>
              <w:pStyle w:val="Compact"/>
              <w:jc w:val="left"/>
            </w:pPr>
            <w:r>
              <w:t xml:space="preserve">12</w:t>
            </w:r>
          </w:p>
        </w:tc>
        <w:tc>
          <w:tcPr/>
          <w:p>
            <w:pPr>
              <w:pStyle w:val="Compact"/>
              <w:jc w:val="left"/>
            </w:pPr>
            <w:r>
              <w:t xml:space="preserve">1,250,000</w:t>
            </w:r>
          </w:p>
        </w:tc>
        <w:tc>
          <w:tcPr/>
          <w:p>
            <w:pPr>
              <w:pStyle w:val="Compact"/>
              <w:jc w:val="left"/>
            </w:pPr>
            <w:r>
              <w:t xml:space="preserve">15,000,000</w:t>
            </w:r>
          </w:p>
        </w:tc>
      </w:tr>
      <w:tr>
        <w:tc>
          <w:tcPr/>
          <w:p>
            <w:pPr>
              <w:pStyle w:val="Compact"/>
              <w:jc w:val="left"/>
            </w:pPr>
            <w:r>
              <w:t xml:space="preserve">3</w:t>
            </w:r>
          </w:p>
        </w:tc>
        <w:tc>
          <w:tcPr/>
          <w:p>
            <w:pPr>
              <w:pStyle w:val="Compact"/>
              <w:jc w:val="left"/>
            </w:pPr>
            <w:r>
              <w:rPr>
                <w:bCs/>
                <w:b/>
              </w:rPr>
              <w:t xml:space="preserve">Banker's Leather Chair</w:t>
            </w:r>
            <w:r>
              <w:t xml:space="preserve"> </w:t>
            </w:r>
            <w:r>
              <w:t xml:space="preserve">— High-back ergonomic executive chair, full-grain Italian leather, adjustable lumbar support, 360-degree swivel, and polished aluminum base. Compliant with Colombian occupational health standards (Resolución 0312 de 2019).</w:t>
            </w:r>
          </w:p>
        </w:tc>
        <w:tc>
          <w:tcPr/>
          <w:p>
            <w:pPr>
              <w:pStyle w:val="Compact"/>
              <w:jc w:val="left"/>
            </w:pPr>
            <w:r>
              <w:t xml:space="preserve">12</w:t>
            </w:r>
          </w:p>
        </w:tc>
        <w:tc>
          <w:tcPr/>
          <w:p>
            <w:pPr>
              <w:pStyle w:val="Compact"/>
              <w:jc w:val="left"/>
            </w:pPr>
            <w:r>
              <w:t xml:space="preserve">4,800,000</w:t>
            </w:r>
          </w:p>
        </w:tc>
        <w:tc>
          <w:tcPr/>
          <w:p>
            <w:pPr>
              <w:pStyle w:val="Compact"/>
              <w:jc w:val="left"/>
            </w:pPr>
            <w:r>
              <w:t xml:space="preserve">57,600,000</w:t>
            </w:r>
          </w:p>
        </w:tc>
      </w:tr>
      <w:tr>
        <w:tc>
          <w:tcPr/>
          <w:p>
            <w:pPr>
              <w:pStyle w:val="Compact"/>
              <w:jc w:val="left"/>
            </w:pPr>
            <w:r>
              <w:t xml:space="preserve">4</w:t>
            </w:r>
          </w:p>
        </w:tc>
        <w:tc>
          <w:tcPr/>
          <w:p>
            <w:pPr>
              <w:pStyle w:val="Compact"/>
              <w:jc w:val="left"/>
            </w:pPr>
            <w:r>
              <w:rPr>
                <w:bCs/>
                <w:b/>
              </w:rPr>
              <w:t xml:space="preserve">Banker's Document Safe</w:t>
            </w:r>
            <w:r>
              <w:t xml:space="preserve"> </w:t>
            </w:r>
            <w:r>
              <w:t xml:space="preserve">— Electronic digital lock, 60cm x 50cm x 45cm, fire-rated (1-hour), anti-theft anchoring system, and biometric fingerprint access. For secure storage of banker's client records and financial instruments at the Medellín branch.</w:t>
            </w:r>
          </w:p>
        </w:tc>
        <w:tc>
          <w:tcPr/>
          <w:p>
            <w:pPr>
              <w:pStyle w:val="Compact"/>
              <w:jc w:val="left"/>
            </w:pPr>
            <w:r>
              <w:t xml:space="preserve">4</w:t>
            </w:r>
          </w:p>
        </w:tc>
        <w:tc>
          <w:tcPr/>
          <w:p>
            <w:pPr>
              <w:pStyle w:val="Compact"/>
              <w:jc w:val="left"/>
            </w:pPr>
            <w:r>
              <w:t xml:space="preserve">9,200,000</w:t>
            </w:r>
          </w:p>
        </w:tc>
        <w:tc>
          <w:tcPr/>
          <w:p>
            <w:pPr>
              <w:pStyle w:val="Compact"/>
              <w:jc w:val="left"/>
            </w:pPr>
            <w:r>
              <w:t xml:space="preserve">36,800,000</w:t>
            </w:r>
          </w:p>
        </w:tc>
      </w:tr>
      <w:tr>
        <w:tc>
          <w:tcPr/>
          <w:p>
            <w:pPr>
              <w:pStyle w:val="Compact"/>
              <w:jc w:val="left"/>
            </w:pPr>
            <w:r>
              <w:t xml:space="preserve">5</w:t>
            </w:r>
          </w:p>
        </w:tc>
        <w:tc>
          <w:tcPr/>
          <w:p>
            <w:pPr>
              <w:pStyle w:val="Compact"/>
              <w:jc w:val="left"/>
            </w:pPr>
            <w:r>
              <w:rPr>
                <w:bCs/>
                <w:b/>
              </w:rPr>
              <w:t xml:space="preserve">Banker's Financial Software License</w:t>
            </w:r>
            <w:r>
              <w:t xml:space="preserve"> </w:t>
            </w:r>
            <w:r>
              <w:t xml:space="preserve">— Annual subscription for the BankerPro Suite (portfolio management, client relationship management, regulatory compliance reporting for Superintendencia Financiera de Colombia). Includes 25 user seats and cloud hosting on servers located in Medellín.</w:t>
            </w:r>
          </w:p>
        </w:tc>
        <w:tc>
          <w:tcPr/>
          <w:p>
            <w:pPr>
              <w:pStyle w:val="Compact"/>
              <w:jc w:val="left"/>
            </w:pPr>
            <w:r>
              <w:t xml:space="preserve">1</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6</w:t>
            </w:r>
          </w:p>
        </w:tc>
        <w:tc>
          <w:tcPr/>
          <w:p>
            <w:pPr>
              <w:pStyle w:val="Compact"/>
              <w:jc w:val="left"/>
            </w:pPr>
            <w:r>
              <w:rPr>
                <w:bCs/>
                <w:b/>
              </w:rPr>
              <w:t xml:space="preserve">Banker Training &amp; Certification Program</w:t>
            </w:r>
            <w:r>
              <w:t xml:space="preserve"> </w:t>
            </w:r>
            <w:r>
              <w:t xml:space="preserve">— Comprehensive 40-hour in-person training for 15 banker professionals at the Medellín office. Covers anti-money laundering (Ley 1333 de 2009), client advisory protocols, and digital banking operations. Delivered by certified instructors from the vendor's Medellín training center.</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7</w:t>
            </w:r>
          </w:p>
        </w:tc>
        <w:tc>
          <w:tcPr/>
          <w:p>
            <w:pPr>
              <w:pStyle w:val="Compact"/>
              <w:jc w:val="left"/>
            </w:pPr>
            <w:r>
              <w:rPr>
                <w:bCs/>
                <w:b/>
              </w:rPr>
              <w:t xml:space="preserve">Banker's Reception &amp; Lobby Furniture Package</w:t>
            </w:r>
            <w:r>
              <w:t xml:space="preserve"> </w:t>
            </w:r>
            <w:r>
              <w:t xml:space="preserve">— Includes 6 waiting chairs, 2 reception desks, 1 decorative planter set, and 1 wall-mounted information display. All items in walnut finish to match the banker's office aesthetic at the Colombia Medellín headquarters.</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8</w:t>
            </w:r>
          </w:p>
        </w:tc>
        <w:tc>
          <w:tcPr/>
          <w:p>
            <w:pPr>
              <w:pStyle w:val="Compact"/>
              <w:jc w:val="left"/>
            </w:pPr>
            <w:r>
              <w:rPr>
                <w:bCs/>
                <w:b/>
              </w:rPr>
              <w:t xml:space="preserve">Installation, Delivery &amp; Assembly Service</w:t>
            </w:r>
            <w:r>
              <w:t xml:space="preserve"> </w:t>
            </w:r>
            <w:r>
              <w:t xml:space="preserve">— Full logistics, white-glove delivery, on-site assembly, and calibration of all banker equipment at the Medellín, Colombia premises. Includes 12-month warranty on all hardware items and 24/7 technical support for the BankerPro software.</w:t>
            </w:r>
          </w:p>
        </w:tc>
        <w:tc>
          <w:tcPr/>
          <w:p>
            <w:pPr>
              <w:pStyle w:val="Compact"/>
              <w:jc w:val="left"/>
            </w:pPr>
            <w:r>
              <w:t xml:space="preserve">1</w:t>
            </w:r>
          </w:p>
        </w:tc>
        <w:tc>
          <w:tcPr/>
          <w:p>
            <w:pPr>
              <w:pStyle w:val="Compact"/>
              <w:jc w:val="left"/>
            </w:pPr>
            <w:r>
              <w:t xml:space="preserve">18,000,000</w:t>
            </w:r>
          </w:p>
        </w:tc>
        <w:tc>
          <w:tcPr/>
          <w:p>
            <w:pPr>
              <w:pStyle w:val="Compact"/>
              <w:jc w:val="left"/>
            </w:pPr>
            <w:r>
              <w:t xml:space="preserve">18,000,000</w:t>
            </w:r>
          </w:p>
        </w:tc>
      </w:tr>
      <w:tr>
        <w:tc>
          <w:tcPr>
            <w:gridSpan w:val="4"/>
          </w:tcPr>
          <w:p>
            <w:pPr>
              <w:pStyle w:val="Compact"/>
              <w:jc w:val="right"/>
            </w:pPr>
            <w:r>
              <w:t xml:space="preserve">SUBTOTAL</w:t>
            </w:r>
          </w:p>
        </w:tc>
        <w:tc>
          <w:tcPr/>
          <w:p>
            <w:pPr>
              <w:pStyle w:val="Compact"/>
              <w:jc w:val="left"/>
            </w:pPr>
            <w:r>
              <w:t xml:space="preserve">380,000,000</w:t>
            </w:r>
          </w:p>
        </w:tc>
      </w:tr>
      <w:tr>
        <w:tc>
          <w:tcPr>
            <w:gridSpan w:val="4"/>
          </w:tcPr>
          <w:p>
            <w:pPr>
              <w:pStyle w:val="Compact"/>
              <w:jc w:val="right"/>
            </w:pPr>
            <w:r>
              <w:t xml:space="preserve">IVA (19% VAT - Colombia)</w:t>
            </w:r>
          </w:p>
        </w:tc>
        <w:tc>
          <w:tcPr/>
          <w:p>
            <w:pPr>
              <w:pStyle w:val="Compact"/>
              <w:jc w:val="left"/>
            </w:pPr>
            <w:r>
              <w:t xml:space="preserve">72,200,000</w:t>
            </w:r>
          </w:p>
        </w:tc>
      </w:tr>
      <w:tr>
        <w:tc>
          <w:tcPr>
            <w:gridSpan w:val="4"/>
          </w:tcPr>
          <w:p>
            <w:pPr>
              <w:pStyle w:val="Compact"/>
              <w:jc w:val="right"/>
            </w:pPr>
            <w:r>
              <w:t xml:space="preserve">GRAND TOTAL (COP)</w:t>
            </w:r>
          </w:p>
        </w:tc>
        <w:tc>
          <w:tcPr/>
          <w:p>
            <w:pPr>
              <w:pStyle w:val="Compact"/>
              <w:jc w:val="left"/>
            </w:pPr>
            <w:r>
              <w:t xml:space="preserve">452,200,000</w:t>
            </w:r>
          </w:p>
        </w:tc>
      </w:tr>
    </w:tbl>
    <w:p>
      <w:pPr>
        <w:pStyle w:val="BodyText"/>
      </w:pPr>
      <w:r>
        <w:t xml:space="preserve">TERMS AND CONDITIONS</w:t>
      </w:r>
    </w:p>
    <w:p>
      <w:pPr>
        <w:numPr>
          <w:ilvl w:val="0"/>
          <w:numId w:val="1001"/>
        </w:numPr>
        <w:pStyle w:val="Compact"/>
      </w:pPr>
      <w:r>
        <w:rPr>
          <w:bCs/>
          <w:b/>
        </w:rPr>
        <w:t xml:space="preserve">Scope of Purchase Order:</w:t>
      </w:r>
      <w:r>
        <w:t xml:space="preserve"> </w:t>
      </w:r>
      <w:r>
        <w:t xml:space="preserve">This Purchase Order (PO-MDE-2025-04871) is issued by Grupo Financiero Andino S.A., a financial institution registered in Medellín, Colombia, for the procurement of banker's furniture, equipment, software, and professional services. All items are intended for use in the banker's operational offices located in the El Poblado district of Medellín, Antioquia, Colombia.</w:t>
      </w:r>
    </w:p>
    <w:p>
      <w:pPr>
        <w:numPr>
          <w:ilvl w:val="0"/>
          <w:numId w:val="1001"/>
        </w:numPr>
        <w:pStyle w:val="Compact"/>
      </w:pPr>
      <w:r>
        <w:rPr>
          <w:bCs/>
          <w:b/>
        </w:rPr>
        <w:t xml:space="preserve">Vendor Obligations:</w:t>
      </w:r>
      <w:r>
        <w:t xml:space="preserve"> </w:t>
      </w:r>
      <w:r>
        <w:t xml:space="preserve">Banker Solutions &amp; Equipos Financieros Ltda. shall deliver all goods and services in accordance with the specifications outlined in this Purchase Order. All banker's furniture must be new, free from defects, and manufactured in compliance with Colombian quality standards (NTC). The vendor guarantees that all materials used in the banker's desks, chairs, and lamps meet the environmental and safety regulations established by the Ministry of Environment of Colombia.</w:t>
      </w:r>
    </w:p>
    <w:p>
      <w:pPr>
        <w:numPr>
          <w:ilvl w:val="0"/>
          <w:numId w:val="1001"/>
        </w:numPr>
        <w:pStyle w:val="Compact"/>
      </w:pPr>
      <w:r>
        <w:rPr>
          <w:bCs/>
          <w:b/>
        </w:rPr>
        <w:t xml:space="preserve">Delivery and Acceptance:</w:t>
      </w:r>
      <w:r>
        <w:t xml:space="preserve"> </w:t>
      </w:r>
      <w:r>
        <w:t xml:space="preserve">All items shall be delivered to the buyer's premises in Medellín, Colombia, no later than July 15, 2025. The buyer shall have five (5) business days from the date of delivery to inspect and accept or reject the goods. Rejection must be communicated in writing with a detailed description of the non-conformity. The vendor shall replace rejected items within ten (10) business days at no additional cost.</w:t>
      </w:r>
    </w:p>
    <w:p>
      <w:pPr>
        <w:numPr>
          <w:ilvl w:val="0"/>
          <w:numId w:val="1001"/>
        </w:numPr>
        <w:pStyle w:val="Compact"/>
      </w:pPr>
      <w:r>
        <w:rPr>
          <w:bCs/>
          <w:b/>
        </w:rPr>
        <w:t xml:space="preserve">Payment:</w:t>
      </w:r>
      <w:r>
        <w:t xml:space="preserve"> </w:t>
      </w:r>
      <w:r>
        <w:t xml:space="preserve">Payment of the total amount of COP 452,200,000 (Four Hundred Fifty-Two Million Two Hundred Thousand Colombian Pesos) shall be made within thirty (30) calendar days from the date of the vendor's invoice, provided all goods and services have been accepted. Payment shall be made via electronic bank transfer to the vendor's account at Bancolombia, Medellín branch. The buyer reserves the right to withhold payment for any disputed or rejected items until resolution is reached.</w:t>
      </w:r>
    </w:p>
    <w:p>
      <w:pPr>
        <w:numPr>
          <w:ilvl w:val="0"/>
          <w:numId w:val="1001"/>
        </w:numPr>
        <w:pStyle w:val="Compact"/>
      </w:pPr>
      <w:r>
        <w:rPr>
          <w:bCs/>
          <w:b/>
        </w:rPr>
        <w:t xml:space="preserve">Warranty:</w:t>
      </w:r>
      <w:r>
        <w:t xml:space="preserve"> </w:t>
      </w:r>
      <w:r>
        <w:t xml:space="preserve">All banker's furniture and hardware items carry a minimum twelve (12) month warranty against manufacturing defects. The BankerPro software license includes a twelve (12) month subscription with guaranteed uptime of 99.5% and priority technical support. The vendor shall respond to any warranty claim within forty-eight (48) hours.</w:t>
      </w:r>
    </w:p>
    <w:p>
      <w:pPr>
        <w:numPr>
          <w:ilvl w:val="0"/>
          <w:numId w:val="1001"/>
        </w:numPr>
        <w:pStyle w:val="Compact"/>
      </w:pPr>
      <w:r>
        <w:rPr>
          <w:bCs/>
          <w:b/>
        </w:rPr>
        <w:t xml:space="preserve">Regulatory Compliance:</w:t>
      </w:r>
      <w:r>
        <w:t xml:space="preserve"> </w:t>
      </w:r>
      <w:r>
        <w:t xml:space="preserve">The vendor acknowledges that the buyer operates under the supervision of the Superintendencia Financiera de Colombia. All banker's equipment and software must comply with data protection regulations (Ley 1581 de 2012) and anti-money laundering requirements (Ley 1333 de 2009). The vendor shall execute a non-disclosure agreement (NDA) prior to the commencement of any on-site work in Medellín.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decrees, or transportation disruptions affecting the Medellín metropolitan area. The affected party shall notify the other within seventy-two (72) hours of the occurrence.</w:t>
      </w:r>
    </w:p>
    <w:p>
      <w:pPr>
        <w:numPr>
          <w:ilvl w:val="0"/>
          <w:numId w:val="1001"/>
        </w:numPr>
        <w:pStyle w:val="Compact"/>
      </w:pPr>
      <w:r>
        <w:rPr>
          <w:bCs/>
          <w:b/>
        </w:rPr>
        <w:t xml:space="preserve">Governing Law:</w:t>
      </w:r>
      <w:r>
        <w:t xml:space="preserve"> </w:t>
      </w:r>
      <w:r>
        <w:t xml:space="preserve">This Purchase Order shall be governed by and construed in accordance with the commercial laws of the Republic of Colombia. Any disputes arising from this Purchase Order shall be resolved through the competent commercial courts of Medellín, Antioquia, Colombia, or through arbitration at the Centro de Arbitraje y Conciliación de la Cámara de Comercio de Medellín, at the election of the buyer.</w:t>
      </w:r>
    </w:p>
    <w:p>
      <w:pPr>
        <w:numPr>
          <w:ilvl w:val="0"/>
          <w:numId w:val="1001"/>
        </w:numPr>
        <w:pStyle w:val="Compact"/>
      </w:pPr>
      <w:r>
        <w:rPr>
          <w:bCs/>
          <w:b/>
        </w:rPr>
        <w:t xml:space="preserve">Amendments:</w:t>
      </w:r>
      <w:r>
        <w:t xml:space="preserve"> </w:t>
      </w:r>
      <w:r>
        <w:t xml:space="preserve">No modification to this Purchase Order shall be valid unless made in writing and signed by authorized representatives of both parties. Any change in scope, quantity, or pricing of the banker's items must be documented in a formal addendum to this Purchase Order.</w:t>
      </w:r>
    </w:p>
    <w:p>
      <w:pPr>
        <w:numPr>
          <w:ilvl w:val="0"/>
          <w:numId w:val="1001"/>
        </w:numPr>
        <w:pStyle w:val="Compact"/>
      </w:pPr>
      <w:r>
        <w:rPr>
          <w:bCs/>
          <w:b/>
        </w:rPr>
        <w:t xml:space="preserve">Validity:</w:t>
      </w:r>
      <w:r>
        <w:t xml:space="preserve"> </w:t>
      </w:r>
      <w:r>
        <w:t xml:space="preserve">This Purchase Order is valid for sixty (60) days from the date of issue. If the vendor does not confirm acceptance in writing within fifteen (15) business days, this Purchase Order shall be considered null and void.</w:t>
      </w:r>
    </w:p>
    <w:p>
      <w:pPr>
        <w:pStyle w:val="FirstParagraph"/>
      </w:pPr>
      <w:r>
        <w:t xml:space="preserve">AUTHORIZATION AND SIGNATURES</w:t>
      </w:r>
    </w:p>
    <w:p>
      <w:pPr>
        <w:pStyle w:val="BodyText"/>
      </w:pPr>
      <w:r>
        <w:rPr>
          <w:bCs/>
          <w:b/>
        </w:rPr>
        <w:t xml:space="preserve">For the Buyer:</w:t>
      </w:r>
      <w:r>
        <w:br/>
      </w:r>
      <w:r>
        <w:t xml:space="preserve">Grupo Financiero Andino S.A.</w:t>
      </w:r>
      <w:r>
        <w:br/>
      </w:r>
      <w:r>
        <w:t xml:space="preserve">Medellín, Colombia</w:t>
      </w:r>
    </w:p>
    <w:p>
      <w:pPr>
        <w:pStyle w:val="BodyText"/>
      </w:pPr>
      <w:r>
        <w:rPr>
          <w:bCs/>
          <w:b/>
        </w:rPr>
        <w:t xml:space="preserve">Carlos Alberto Restrepo M.</w:t>
      </w:r>
      <w:r>
        <w:br/>
      </w:r>
      <w:r>
        <w:t xml:space="preserve">Director de Compras y Abastecimiento</w:t>
      </w:r>
      <w:r>
        <w:br/>
      </w:r>
      <w:r>
        <w:t xml:space="preserve">Date: _______________</w:t>
      </w:r>
    </w:p>
    <w:p>
      <w:pPr>
        <w:pStyle w:val="BodyText"/>
      </w:pPr>
      <w:r>
        <w:rPr>
          <w:bCs/>
          <w:b/>
        </w:rPr>
        <w:t xml:space="preserve">For the Vendor:</w:t>
      </w:r>
      <w:r>
        <w:br/>
      </w:r>
      <w:r>
        <w:t xml:space="preserve">Banker Solutions &amp; Equipos Financieros Ltda.</w:t>
      </w:r>
      <w:r>
        <w:br/>
      </w:r>
      <w:r>
        <w:t xml:space="preserve">Medellín, Colombia</w:t>
      </w:r>
    </w:p>
    <w:p>
      <w:pPr>
        <w:pStyle w:val="BodyText"/>
      </w:pPr>
      <w:r>
        <w:rPr>
          <w:bCs/>
          <w:b/>
        </w:rPr>
        <w:t xml:space="preserve">Laura Patricia Gómez V.</w:t>
      </w:r>
      <w:r>
        <w:br/>
      </w:r>
      <w:r>
        <w:t xml:space="preserve">Gerente Comercial</w:t>
      </w:r>
      <w:r>
        <w:br/>
      </w:r>
      <w:r>
        <w:t xml:space="preserve">Date: _______________</w:t>
      </w:r>
    </w:p>
    <w:p>
      <w:pPr>
        <w:pStyle w:val="BodyText"/>
      </w:pPr>
      <w:r>
        <w:t xml:space="preserve">This Purchase Order document was generated for Grupo Financiero Andino S.A., Medellín, Colombia. Document Reference: PO-MDE-2025-04871. This document constitutes a binding commercial agreement between the parties upon execution. All references to "Banker" pertain to the professional role, associated furniture, equipment, and services described herein. The delivery and performance location is exclusively within the city of Medellín, Antioquia, Colombia.</w:t>
      </w:r>
    </w:p>
    <w:p>
      <w:pPr>
        <w:pStyle w:val="BodyText"/>
      </w:pPr>
      <w:r>
        <w:t xml:space="preserve">© 2025 Grupo Financiero Andino S.A. — All Rights Reserved. NIT: 900.456.789-1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Equipment and Services - Colombia Medellín</dc:title>
  <dc:creator/>
  <dc:language>en</dc:language>
  <cp:keywords/>
  <dcterms:created xsi:type="dcterms:W3CDTF">2026-10-10T07:04:40Z</dcterms:created>
  <dcterms:modified xsi:type="dcterms:W3CDTF">2026-10-10T07:04:40Z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