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Banker</w:t>
      </w:r>
      <w:r>
        <w:t xml:space="preserve"> </w:t>
      </w:r>
      <w:r>
        <w:t xml:space="preserve">Services</w:t>
      </w:r>
      <w:r>
        <w:t xml:space="preserve"> </w:t>
      </w:r>
      <w:r>
        <w:t xml:space="preserve">-</w:t>
      </w:r>
      <w:r>
        <w:t xml:space="preserve"> </w:t>
      </w:r>
      <w:r>
        <w:t xml:space="preserve">Ethiopia</w:t>
      </w:r>
      <w:r>
        <w:t xml:space="preserve"> </w:t>
      </w:r>
      <w:r>
        <w:t xml:space="preserve">Addis</w:t>
      </w:r>
      <w:r>
        <w:t xml:space="preserve"> </w:t>
      </w:r>
      <w:r>
        <w:t xml:space="preserve">Ababa</w:t>
      </w:r>
    </w:p>
    <w:bookmarkStart w:id="20" w:name="purchase-order"/>
    <w:p>
      <w:pPr>
        <w:pStyle w:val="Heading1"/>
      </w:pPr>
      <w:r>
        <w:t xml:space="preserve">PURCHASE ORDER</w:t>
      </w:r>
    </w:p>
    <w:p>
      <w:pPr>
        <w:pStyle w:val="FirstParagraph"/>
      </w:pPr>
      <w:r>
        <w:t xml:space="preserve">Banker Banking Equipment &amp; Professional Services Procurement</w:t>
      </w:r>
    </w:p>
    <w:p>
      <w:pPr>
        <w:pStyle w:val="BodyText"/>
      </w:pPr>
      <w:r>
        <w:t xml:space="preserve">Ethiopia Addis Ababa</w:t>
      </w:r>
    </w:p>
    <w:p>
      <w:pPr>
        <w:pStyle w:val="BodyText"/>
      </w:pPr>
      <w:r>
        <w:t xml:space="preserve">PO No.: EAA-BNK-2025-04782</w:t>
      </w:r>
    </w:p>
    <w:bookmarkEnd w:id="20"/>
    <w:bookmarkStart w:id="21" w:name="purchase-order-details"/>
    <w:p>
      <w:pPr>
        <w:pStyle w:val="Heading2"/>
      </w:pPr>
      <w:r>
        <w:t xml:space="preserve">1. Purchase Order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Purchase Order Number</w:t>
            </w:r>
          </w:p>
        </w:tc>
        <w:tc>
          <w:tcPr/>
          <w:p>
            <w:pPr>
              <w:pStyle w:val="Compact"/>
              <w:jc w:val="left"/>
            </w:pPr>
            <w:r>
              <w:t xml:space="preserve">EAA-BNK-2025-04782</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Place of Issue</w:t>
            </w:r>
          </w:p>
        </w:tc>
        <w:tc>
          <w:tcPr/>
          <w:p>
            <w:pPr>
              <w:pStyle w:val="Compact"/>
              <w:jc w:val="left"/>
            </w:pPr>
            <w:r>
              <w:t xml:space="preserve">Addis Ababa, Ethiopia</w:t>
            </w:r>
          </w:p>
        </w:tc>
      </w:tr>
      <w:tr>
        <w:tc>
          <w:tcPr/>
          <w:p>
            <w:pPr>
              <w:pStyle w:val="Compact"/>
              <w:jc w:val="left"/>
            </w:pPr>
            <w:r>
              <w:t xml:space="preserve">Required Delivery Date</w:t>
            </w:r>
          </w:p>
        </w:tc>
        <w:tc>
          <w:tcPr/>
          <w:p>
            <w:pPr>
              <w:pStyle w:val="Compact"/>
              <w:jc w:val="left"/>
            </w:pPr>
            <w:r>
              <w:t xml:space="preserve">30 July 2025</w:t>
            </w:r>
          </w:p>
        </w:tc>
      </w:tr>
      <w:tr>
        <w:tc>
          <w:tcPr/>
          <w:p>
            <w:pPr>
              <w:pStyle w:val="Compact"/>
              <w:jc w:val="left"/>
            </w:pPr>
            <w:r>
              <w:t xml:space="preserve">Currency</w:t>
            </w:r>
          </w:p>
        </w:tc>
        <w:tc>
          <w:tcPr/>
          <w:p>
            <w:pPr>
              <w:pStyle w:val="Compact"/>
              <w:jc w:val="left"/>
            </w:pPr>
            <w:r>
              <w:t xml:space="preserve">Ethiopian Birr (ETB)</w:t>
            </w:r>
          </w:p>
        </w:tc>
      </w:tr>
      <w:tr>
        <w:tc>
          <w:tcPr/>
          <w:p>
            <w:pPr>
              <w:pStyle w:val="Compact"/>
              <w:jc w:val="left"/>
            </w:pPr>
            <w:r>
              <w:t xml:space="preserve">Payment Terms</w:t>
            </w:r>
          </w:p>
        </w:tc>
        <w:tc>
          <w:tcPr/>
          <w:p>
            <w:pPr>
              <w:pStyle w:val="Compact"/>
              <w:jc w:val="left"/>
            </w:pPr>
            <w:r>
              <w:t xml:space="preserve">50% advance upon confirmation; 50% upon delivery and acceptance in Addis Ababa</w:t>
            </w:r>
          </w:p>
        </w:tc>
      </w:tr>
      <w:tr>
        <w:tc>
          <w:tcPr/>
          <w:p>
            <w:pPr>
              <w:pStyle w:val="Compact"/>
              <w:jc w:val="left"/>
            </w:pPr>
            <w:r>
              <w:t xml:space="preserve">Validity of This Purchase Order</w:t>
            </w:r>
          </w:p>
        </w:tc>
        <w:tc>
          <w:tcPr/>
          <w:p>
            <w:pPr>
              <w:pStyle w:val="Compact"/>
              <w:jc w:val="left"/>
            </w:pPr>
            <w:r>
              <w:t xml:space="preserve">30 calendar days from the date of issue</w:t>
            </w:r>
          </w:p>
        </w:tc>
      </w:tr>
    </w:tbl>
    <w:bookmarkEnd w:id="21"/>
    <w:bookmarkStart w:id="22" w:name="purchasing-party-buyer"/>
    <w:p>
      <w:pPr>
        <w:pStyle w:val="Heading2"/>
      </w:pPr>
      <w:r>
        <w:t xml:space="preserve">2. Purchasing Party (Buyer)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Organization Name</w:t>
            </w:r>
          </w:p>
        </w:tc>
        <w:tc>
          <w:tcPr/>
          <w:p>
            <w:pPr>
              <w:pStyle w:val="Compact"/>
              <w:jc w:val="left"/>
            </w:pPr>
            <w:r>
              <w:t xml:space="preserve">Banker Financial Services PLC</w:t>
            </w:r>
          </w:p>
        </w:tc>
      </w:tr>
      <w:tr>
        <w:tc>
          <w:tcPr/>
          <w:p>
            <w:pPr>
              <w:pStyle w:val="Compact"/>
              <w:jc w:val="left"/>
            </w:pPr>
            <w:r>
              <w:t xml:space="preserve">Address</w:t>
            </w:r>
          </w:p>
        </w:tc>
        <w:tc>
          <w:tcPr/>
          <w:p>
            <w:pPr>
              <w:pStyle w:val="Compact"/>
              <w:jc w:val="left"/>
            </w:pPr>
            <w:r>
              <w:t xml:space="preserve">Banker Tower, Bole Road, Addis Ababa, Ethiopia</w:t>
            </w:r>
          </w:p>
        </w:tc>
      </w:tr>
      <w:tr>
        <w:tc>
          <w:tcPr/>
          <w:p>
            <w:pPr>
              <w:pStyle w:val="Compact"/>
              <w:jc w:val="left"/>
            </w:pPr>
            <w:r>
              <w:t xml:space="preserve">Tax Identification Number (TIN)</w:t>
            </w:r>
          </w:p>
        </w:tc>
        <w:tc>
          <w:tcPr/>
          <w:p>
            <w:pPr>
              <w:pStyle w:val="Compact"/>
              <w:jc w:val="left"/>
            </w:pPr>
            <w:r>
              <w:t xml:space="preserve">0012345678901</w:t>
            </w:r>
          </w:p>
        </w:tc>
      </w:tr>
      <w:tr>
        <w:tc>
          <w:tcPr/>
          <w:p>
            <w:pPr>
              <w:pStyle w:val="Compact"/>
              <w:jc w:val="left"/>
            </w:pPr>
            <w:r>
              <w:t xml:space="preserve">Contact Person</w:t>
            </w:r>
          </w:p>
        </w:tc>
        <w:tc>
          <w:tcPr/>
          <w:p>
            <w:pPr>
              <w:pStyle w:val="Compact"/>
              <w:jc w:val="left"/>
            </w:pPr>
            <w:r>
              <w:t xml:space="preserve">Mr. Tesfaye Alemu, Head of Procurement</w:t>
            </w:r>
          </w:p>
        </w:tc>
      </w:tr>
      <w:tr>
        <w:tc>
          <w:tcPr/>
          <w:p>
            <w:pPr>
              <w:pStyle w:val="Compact"/>
              <w:jc w:val="left"/>
            </w:pPr>
            <w:r>
              <w:t xml:space="preserve">Telephone</w:t>
            </w:r>
          </w:p>
        </w:tc>
        <w:tc>
          <w:tcPr/>
          <w:p>
            <w:pPr>
              <w:pStyle w:val="Compact"/>
              <w:jc w:val="left"/>
            </w:pPr>
            <w:r>
              <w:t xml:space="preserve">+251-11-555-0142</w:t>
            </w:r>
          </w:p>
        </w:tc>
      </w:tr>
      <w:tr>
        <w:tc>
          <w:tcPr/>
          <w:p>
            <w:pPr>
              <w:pStyle w:val="Compact"/>
              <w:jc w:val="left"/>
            </w:pPr>
            <w:r>
              <w:t xml:space="preserve">Email</w:t>
            </w:r>
          </w:p>
        </w:tc>
        <w:tc>
          <w:tcPr/>
          <w:p>
            <w:pPr>
              <w:pStyle w:val="Compact"/>
              <w:jc w:val="left"/>
            </w:pPr>
            <w:r>
              <w:t xml:space="preserve">procurement@banker-ethiopia.com</w:t>
            </w:r>
          </w:p>
        </w:tc>
      </w:tr>
    </w:tbl>
    <w:bookmarkEnd w:id="22"/>
    <w:bookmarkStart w:id="23" w:name="supplier-seller"/>
    <w:p>
      <w:pPr>
        <w:pStyle w:val="Heading2"/>
      </w:pPr>
      <w:r>
        <w:t xml:space="preserve">3. Supplier (Seller)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Organization Name</w:t>
            </w:r>
          </w:p>
        </w:tc>
        <w:tc>
          <w:tcPr/>
          <w:p>
            <w:pPr>
              <w:pStyle w:val="Compact"/>
              <w:jc w:val="left"/>
            </w:pPr>
            <w:r>
              <w:t xml:space="preserve">Banker Technology &amp; Solutions International S.A.</w:t>
            </w:r>
          </w:p>
        </w:tc>
      </w:tr>
      <w:tr>
        <w:tc>
          <w:tcPr/>
          <w:p>
            <w:pPr>
              <w:pStyle w:val="Compact"/>
              <w:jc w:val="left"/>
            </w:pPr>
            <w:r>
              <w:t xml:space="preserve">Address</w:t>
            </w:r>
          </w:p>
        </w:tc>
        <w:tc>
          <w:tcPr/>
          <w:p>
            <w:pPr>
              <w:pStyle w:val="Compact"/>
              <w:jc w:val="left"/>
            </w:pPr>
            <w:r>
              <w:t xml:space="preserve">Banker Corporate Campus, 12th Avenue, Bole Sub-City, Addis Ababa, Ethiopia</w:t>
            </w:r>
          </w:p>
        </w:tc>
      </w:tr>
      <w:tr>
        <w:tc>
          <w:tcPr/>
          <w:p>
            <w:pPr>
              <w:pStyle w:val="Compact"/>
              <w:jc w:val="left"/>
            </w:pPr>
            <w:r>
              <w:t xml:space="preserve">Tax Identification Number (TIN)</w:t>
            </w:r>
          </w:p>
        </w:tc>
        <w:tc>
          <w:tcPr/>
          <w:p>
            <w:pPr>
              <w:pStyle w:val="Compact"/>
              <w:jc w:val="left"/>
            </w:pPr>
            <w:r>
              <w:t xml:space="preserve">0098765432101</w:t>
            </w:r>
          </w:p>
        </w:tc>
      </w:tr>
      <w:tr>
        <w:tc>
          <w:tcPr/>
          <w:p>
            <w:pPr>
              <w:pStyle w:val="Compact"/>
              <w:jc w:val="left"/>
            </w:pPr>
            <w:r>
              <w:t xml:space="preserve">Contact Person</w:t>
            </w:r>
          </w:p>
        </w:tc>
        <w:tc>
          <w:tcPr/>
          <w:p>
            <w:pPr>
              <w:pStyle w:val="Compact"/>
              <w:jc w:val="left"/>
            </w:pPr>
            <w:r>
              <w:t xml:space="preserve">Ms. Hanna Bekele, Sales Director</w:t>
            </w:r>
          </w:p>
        </w:tc>
      </w:tr>
      <w:tr>
        <w:tc>
          <w:tcPr/>
          <w:p>
            <w:pPr>
              <w:pStyle w:val="Compact"/>
              <w:jc w:val="left"/>
            </w:pPr>
            <w:r>
              <w:t xml:space="preserve">Telephone</w:t>
            </w:r>
          </w:p>
        </w:tc>
        <w:tc>
          <w:tcPr/>
          <w:p>
            <w:pPr>
              <w:pStyle w:val="Compact"/>
              <w:jc w:val="left"/>
            </w:pPr>
            <w:r>
              <w:t xml:space="preserve">+251-11-666-0387</w:t>
            </w:r>
          </w:p>
        </w:tc>
      </w:tr>
      <w:tr>
        <w:tc>
          <w:tcPr/>
          <w:p>
            <w:pPr>
              <w:pStyle w:val="Compact"/>
              <w:jc w:val="left"/>
            </w:pPr>
            <w:r>
              <w:t xml:space="preserve">Email</w:t>
            </w:r>
          </w:p>
        </w:tc>
        <w:tc>
          <w:tcPr/>
          <w:p>
            <w:pPr>
              <w:pStyle w:val="Compact"/>
              <w:jc w:val="left"/>
            </w:pPr>
            <w:r>
              <w:t xml:space="preserve">sales@banker-tech-ethiopia.com</w:t>
            </w:r>
          </w:p>
        </w:tc>
      </w:tr>
    </w:tbl>
    <w:bookmarkEnd w:id="23"/>
    <w:bookmarkStart w:id="24" w:name="items-and-services-ordered"/>
    <w:p>
      <w:pPr>
        <w:pStyle w:val="Heading2"/>
      </w:pPr>
      <w:r>
        <w:t xml:space="preserve">4. Items and Services Ordered</w:t>
      </w:r>
    </w:p>
    <w:p>
      <w:pPr>
        <w:pStyle w:val="FirstParagraph"/>
      </w:pPr>
      <w:r>
        <w:t xml:space="preserve">This Purchase Order is issued by Banker Financial Services PLC, headquartered in Ethiopia Addis Ababa, for the procurement of specialized banking equipment, software licenses, and professional Banker services required to upgrade the operational infrastructure of our branch network across the Addis Ababa metropolitan area. The following items constitute the full scope of this Purchase Order:</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(ETB)</w:t>
            </w:r>
          </w:p>
        </w:tc>
        <w:tc>
          <w:tcPr/>
          <w:p>
            <w:pPr>
              <w:pStyle w:val="Compact"/>
              <w:jc w:val="left"/>
            </w:pPr>
            <w:r>
              <w:t xml:space="preserve">Total (ETB)</w:t>
            </w:r>
          </w:p>
        </w:tc>
      </w:tr>
      <w:tr>
        <w:tc>
          <w:tcPr/>
          <w:p>
            <w:pPr>
              <w:pStyle w:val="Compact"/>
              <w:jc w:val="left"/>
            </w:pPr>
            <w:r>
              <w:t xml:space="preserve">01</w:t>
            </w:r>
          </w:p>
        </w:tc>
        <w:tc>
          <w:tcPr/>
          <w:p>
            <w:pPr>
              <w:pStyle w:val="Compact"/>
              <w:jc w:val="left"/>
            </w:pPr>
            <w:r>
              <w:t xml:space="preserve">Banker Core Banking System Software License (Enterprise Edition) – perpetual license for 200 concurrent Banker user terminals</w:t>
            </w:r>
          </w:p>
        </w:tc>
        <w:tc>
          <w:tcPr/>
          <w:p>
            <w:pPr>
              <w:pStyle w:val="Compact"/>
              <w:jc w:val="left"/>
            </w:pPr>
            <w:r>
              <w:t xml:space="preserve">1</w:t>
            </w:r>
          </w:p>
        </w:tc>
        <w:tc>
          <w:tcPr/>
          <w:p>
            <w:pPr>
              <w:pStyle w:val="Compact"/>
              <w:jc w:val="left"/>
            </w:pPr>
            <w:r>
              <w:t xml:space="preserve">4,500,000.00</w:t>
            </w:r>
          </w:p>
        </w:tc>
        <w:tc>
          <w:tcPr/>
          <w:p>
            <w:pPr>
              <w:pStyle w:val="Compact"/>
              <w:jc w:val="left"/>
            </w:pPr>
            <w:r>
              <w:t xml:space="preserve">4,500,000.00</w:t>
            </w:r>
          </w:p>
        </w:tc>
      </w:tr>
      <w:tr>
        <w:tc>
          <w:tcPr/>
          <w:p>
            <w:pPr>
              <w:pStyle w:val="Compact"/>
              <w:jc w:val="left"/>
            </w:pPr>
            <w:r>
              <w:t xml:space="preserve">02</w:t>
            </w:r>
          </w:p>
        </w:tc>
        <w:tc>
          <w:tcPr/>
          <w:p>
            <w:pPr>
              <w:pStyle w:val="Compact"/>
              <w:jc w:val="left"/>
            </w:pPr>
            <w:r>
              <w:t xml:space="preserve">Banker-grade ATM dispensing modules with biometric authentication, suitable for deployment at Banker branches in Addis Ababa</w:t>
            </w:r>
          </w:p>
        </w:tc>
        <w:tc>
          <w:tcPr/>
          <w:p>
            <w:pPr>
              <w:pStyle w:val="Compact"/>
              <w:jc w:val="left"/>
            </w:pPr>
            <w:r>
              <w:t xml:space="preserve">12</w:t>
            </w:r>
          </w:p>
        </w:tc>
        <w:tc>
          <w:tcPr/>
          <w:p>
            <w:pPr>
              <w:pStyle w:val="Compact"/>
              <w:jc w:val="left"/>
            </w:pPr>
            <w:r>
              <w:t xml:space="preserve">850,000.00</w:t>
            </w:r>
          </w:p>
        </w:tc>
        <w:tc>
          <w:tcPr/>
          <w:p>
            <w:pPr>
              <w:pStyle w:val="Compact"/>
              <w:jc w:val="left"/>
            </w:pPr>
            <w:r>
              <w:t xml:space="preserve">10,200,000.00</w:t>
            </w:r>
          </w:p>
        </w:tc>
      </w:tr>
      <w:tr>
        <w:tc>
          <w:tcPr/>
          <w:p>
            <w:pPr>
              <w:pStyle w:val="Compact"/>
              <w:jc w:val="left"/>
            </w:pPr>
            <w:r>
              <w:t xml:space="preserve">03</w:t>
            </w:r>
          </w:p>
        </w:tc>
        <w:tc>
          <w:tcPr/>
          <w:p>
            <w:pPr>
              <w:pStyle w:val="Compact"/>
              <w:jc w:val="left"/>
            </w:pPr>
            <w:r>
              <w:t xml:space="preserve">Banker teller workstation hardware (dual-monitor setup with cash drawer, receipt printer, and customer display) – for Banker front-office operations</w:t>
            </w:r>
          </w:p>
        </w:tc>
        <w:tc>
          <w:tcPr/>
          <w:p>
            <w:pPr>
              <w:pStyle w:val="Compact"/>
              <w:jc w:val="left"/>
            </w:pPr>
            <w:r>
              <w:t xml:space="preserve">45</w:t>
            </w:r>
          </w:p>
        </w:tc>
        <w:tc>
          <w:tcPr/>
          <w:p>
            <w:pPr>
              <w:pStyle w:val="Compact"/>
              <w:jc w:val="left"/>
            </w:pPr>
            <w:r>
              <w:t xml:space="preserve">120,000.00</w:t>
            </w:r>
          </w:p>
        </w:tc>
        <w:tc>
          <w:tcPr/>
          <w:p>
            <w:pPr>
              <w:pStyle w:val="Compact"/>
              <w:jc w:val="left"/>
            </w:pPr>
            <w:r>
              <w:t xml:space="preserve">5,400,000.00</w:t>
            </w:r>
          </w:p>
        </w:tc>
      </w:tr>
      <w:tr>
        <w:tc>
          <w:tcPr/>
          <w:p>
            <w:pPr>
              <w:pStyle w:val="Compact"/>
              <w:jc w:val="left"/>
            </w:pPr>
            <w:r>
              <w:t xml:space="preserve">04</w:t>
            </w:r>
          </w:p>
        </w:tc>
        <w:tc>
          <w:tcPr/>
          <w:p>
            <w:pPr>
              <w:pStyle w:val="Compact"/>
              <w:jc w:val="left"/>
            </w:pPr>
            <w:r>
              <w:t xml:space="preserve">Banker cybersecurity suite – network intrusion detection, data encryption, and compliance monitoring for Ethiopian National Bank regulatory requirements</w:t>
            </w:r>
          </w:p>
        </w:tc>
        <w:tc>
          <w:tcPr/>
          <w:p>
            <w:pPr>
              <w:pStyle w:val="Compact"/>
              <w:jc w:val="left"/>
            </w:pPr>
            <w:r>
              <w:t xml:space="preserve">1</w:t>
            </w:r>
          </w:p>
        </w:tc>
        <w:tc>
          <w:tcPr/>
          <w:p>
            <w:pPr>
              <w:pStyle w:val="Compact"/>
              <w:jc w:val="left"/>
            </w:pPr>
            <w:r>
              <w:t xml:space="preserve">2,800,000.00</w:t>
            </w:r>
          </w:p>
        </w:tc>
        <w:tc>
          <w:tcPr/>
          <w:p>
            <w:pPr>
              <w:pStyle w:val="Compact"/>
              <w:jc w:val="left"/>
            </w:pPr>
            <w:r>
              <w:t xml:space="preserve">2,800,000.00</w:t>
            </w:r>
          </w:p>
        </w:tc>
      </w:tr>
      <w:tr>
        <w:tc>
          <w:tcPr/>
          <w:p>
            <w:pPr>
              <w:pStyle w:val="Compact"/>
              <w:jc w:val="left"/>
            </w:pPr>
            <w:r>
              <w:t xml:space="preserve">05</w:t>
            </w:r>
          </w:p>
        </w:tc>
        <w:tc>
          <w:tcPr/>
          <w:p>
            <w:pPr>
              <w:pStyle w:val="Compact"/>
              <w:jc w:val="left"/>
            </w:pPr>
            <w:r>
              <w:t xml:space="preserve">Professional Banker training and certification program for 60 Banker staff members (3-day intensive workshop in Addis Ababa)</w:t>
            </w:r>
          </w:p>
        </w:tc>
        <w:tc>
          <w:tcPr/>
          <w:p>
            <w:pPr>
              <w:pStyle w:val="Compact"/>
              <w:jc w:val="left"/>
            </w:pPr>
            <w:r>
              <w:t xml:space="preserve">60</w:t>
            </w:r>
          </w:p>
        </w:tc>
        <w:tc>
          <w:tcPr/>
          <w:p>
            <w:pPr>
              <w:pStyle w:val="Compact"/>
              <w:jc w:val="left"/>
            </w:pPr>
            <w:r>
              <w:t xml:space="preserve">15,000.00</w:t>
            </w:r>
          </w:p>
        </w:tc>
        <w:tc>
          <w:tcPr/>
          <w:p>
            <w:pPr>
              <w:pStyle w:val="Compact"/>
              <w:jc w:val="left"/>
            </w:pPr>
            <w:r>
              <w:t xml:space="preserve">900,000.00</w:t>
            </w:r>
          </w:p>
        </w:tc>
      </w:tr>
      <w:tr>
        <w:tc>
          <w:tcPr/>
          <w:p>
            <w:pPr>
              <w:pStyle w:val="Compact"/>
              <w:jc w:val="left"/>
            </w:pPr>
            <w:r>
              <w:t xml:space="preserve">06</w:t>
            </w:r>
          </w:p>
        </w:tc>
        <w:tc>
          <w:tcPr/>
          <w:p>
            <w:pPr>
              <w:pStyle w:val="Compact"/>
              <w:jc w:val="left"/>
            </w:pPr>
            <w:r>
              <w:t xml:space="preserve">Banker data center server rack infrastructure (42U racks, UPS backup, cooling systems) for the central Banker operations hub in Bole, Addis Ababa</w:t>
            </w:r>
          </w:p>
        </w:tc>
        <w:tc>
          <w:tcPr/>
          <w:p>
            <w:pPr>
              <w:pStyle w:val="Compact"/>
              <w:jc w:val="left"/>
            </w:pPr>
            <w:r>
              <w:t xml:space="preserve">4</w:t>
            </w:r>
          </w:p>
        </w:tc>
        <w:tc>
          <w:tcPr/>
          <w:p>
            <w:pPr>
              <w:pStyle w:val="Compact"/>
              <w:jc w:val="left"/>
            </w:pPr>
            <w:r>
              <w:t xml:space="preserve">1,200,000.00</w:t>
            </w:r>
          </w:p>
        </w:tc>
        <w:tc>
          <w:tcPr/>
          <w:p>
            <w:pPr>
              <w:pStyle w:val="Compact"/>
              <w:jc w:val="left"/>
            </w:pPr>
            <w:r>
              <w:t xml:space="preserve">4,800,000.00</w:t>
            </w:r>
          </w:p>
        </w:tc>
      </w:tr>
      <w:tr>
        <w:tc>
          <w:tcPr/>
          <w:p>
            <w:pPr>
              <w:pStyle w:val="Compact"/>
              <w:jc w:val="left"/>
            </w:pPr>
            <w:r>
              <w:t xml:space="preserve">07</w:t>
            </w:r>
          </w:p>
        </w:tc>
        <w:tc>
          <w:tcPr/>
          <w:p>
            <w:pPr>
              <w:pStyle w:val="Compact"/>
              <w:jc w:val="left"/>
            </w:pPr>
            <w:r>
              <w:t xml:space="preserve">Banker mobile banking application development and deployment services (iOS and Android) with Amharic and English language support</w:t>
            </w:r>
          </w:p>
        </w:tc>
        <w:tc>
          <w:tcPr/>
          <w:p>
            <w:pPr>
              <w:pStyle w:val="Compact"/>
              <w:jc w:val="left"/>
            </w:pPr>
            <w:r>
              <w:t xml:space="preserve">1</w:t>
            </w:r>
          </w:p>
        </w:tc>
        <w:tc>
          <w:tcPr/>
          <w:p>
            <w:pPr>
              <w:pStyle w:val="Compact"/>
              <w:jc w:val="left"/>
            </w:pPr>
            <w:r>
              <w:t xml:space="preserve">3,200,000.00</w:t>
            </w:r>
          </w:p>
        </w:tc>
        <w:tc>
          <w:tcPr/>
          <w:p>
            <w:pPr>
              <w:pStyle w:val="Compact"/>
              <w:jc w:val="left"/>
            </w:pPr>
            <w:r>
              <w:t xml:space="preserve">3,200,000.00</w:t>
            </w:r>
          </w:p>
        </w:tc>
      </w:tr>
      <w:tr>
        <w:tc>
          <w:tcPr/>
          <w:p>
            <w:pPr>
              <w:pStyle w:val="Compact"/>
              <w:jc w:val="left"/>
            </w:pPr>
            <w:r>
              <w:t xml:space="preserve">08</w:t>
            </w:r>
          </w:p>
        </w:tc>
        <w:tc>
          <w:tcPr/>
          <w:p>
            <w:pPr>
              <w:pStyle w:val="Compact"/>
              <w:jc w:val="left"/>
            </w:pPr>
            <w:r>
              <w:t xml:space="preserve">Annual Banker maintenance and technical support contract (on-site and remote) covering all equipment listed in this Purchase Order</w:t>
            </w:r>
          </w:p>
        </w:tc>
        <w:tc>
          <w:tcPr/>
          <w:p>
            <w:pPr>
              <w:pStyle w:val="Compact"/>
              <w:jc w:val="left"/>
            </w:pPr>
            <w:r>
              <w:t xml:space="preserve">1</w:t>
            </w:r>
          </w:p>
        </w:tc>
        <w:tc>
          <w:tcPr/>
          <w:p>
            <w:pPr>
              <w:pStyle w:val="Compact"/>
              <w:jc w:val="left"/>
            </w:pPr>
            <w:r>
              <w:t xml:space="preserve">1,500,000.00</w:t>
            </w:r>
          </w:p>
        </w:tc>
        <w:tc>
          <w:tcPr/>
          <w:p>
            <w:pPr>
              <w:pStyle w:val="Compact"/>
              <w:jc w:val="left"/>
            </w:pPr>
            <w:r>
              <w:t xml:space="preserve">1,500,000.00</w:t>
            </w:r>
          </w:p>
        </w:tc>
      </w:tr>
      <w:tr>
        <w:tc>
          <w:tcPr>
            <w:gridSpan w:val="4"/>
          </w:tcPr>
          <w:p>
            <w:pPr>
              <w:pStyle w:val="Compact"/>
              <w:jc w:val="left"/>
            </w:pPr>
            <w:r>
              <w:t xml:space="preserve">SUBTOTAL</w:t>
            </w:r>
          </w:p>
        </w:tc>
        <w:tc>
          <w:tcPr/>
          <w:p>
            <w:pPr>
              <w:pStyle w:val="Compact"/>
              <w:jc w:val="left"/>
            </w:pPr>
            <w:r>
              <w:t xml:space="preserve">33,300,000.00</w:t>
            </w:r>
          </w:p>
        </w:tc>
      </w:tr>
      <w:tr>
        <w:tc>
          <w:tcPr>
            <w:gridSpan w:val="4"/>
          </w:tcPr>
          <w:p>
            <w:pPr>
              <w:pStyle w:val="Compact"/>
              <w:jc w:val="left"/>
            </w:pPr>
            <w:r>
              <w:t xml:space="preserve">VAT (15% – Ethiopian Value Added Tax)</w:t>
            </w:r>
          </w:p>
        </w:tc>
        <w:tc>
          <w:tcPr/>
          <w:p>
            <w:pPr>
              <w:pStyle w:val="Compact"/>
              <w:jc w:val="left"/>
            </w:pPr>
            <w:r>
              <w:t xml:space="preserve">4,995,000.00</w:t>
            </w:r>
          </w:p>
        </w:tc>
      </w:tr>
      <w:tr>
        <w:tc>
          <w:tcPr>
            <w:gridSpan w:val="4"/>
          </w:tcPr>
          <w:p>
            <w:pPr>
              <w:pStyle w:val="Compact"/>
              <w:jc w:val="left"/>
            </w:pPr>
            <w:r>
              <w:t xml:space="preserve">GRAND TOTAL (ETB)</w:t>
            </w:r>
          </w:p>
        </w:tc>
        <w:tc>
          <w:tcPr/>
          <w:p>
            <w:pPr>
              <w:pStyle w:val="Compact"/>
              <w:jc w:val="left"/>
            </w:pPr>
            <w:r>
              <w:t xml:space="preserve">38,295,000.00</w:t>
            </w:r>
          </w:p>
        </w:tc>
      </w:tr>
    </w:tbl>
    <w:bookmarkEnd w:id="24"/>
    <w:bookmarkStart w:id="25" w:name="terms-and-conditions"/>
    <w:p>
      <w:pPr>
        <w:pStyle w:val="Heading2"/>
      </w:pPr>
      <w:r>
        <w:t xml:space="preserve">5. Terms and Conditions</w:t>
      </w:r>
    </w:p>
    <w:p>
      <w:pPr>
        <w:pStyle w:val="FirstParagraph"/>
      </w:pPr>
      <w:r>
        <w:t xml:space="preserve">The following terms and conditions govern this Purchase Order issued in Ethiopia Addis Ababa for the procurement of Banker banking products and services:</w:t>
      </w:r>
    </w:p>
    <w:p>
      <w:pPr>
        <w:numPr>
          <w:ilvl w:val="0"/>
          <w:numId w:val="1001"/>
        </w:numPr>
        <w:pStyle w:val="Compact"/>
      </w:pPr>
      <w:r>
        <w:rPr>
          <w:bCs/>
          <w:b/>
        </w:rPr>
        <w:t xml:space="preserve">Governing Law:</w:t>
      </w:r>
      <w:r>
        <w:t xml:space="preserve"> </w:t>
      </w:r>
      <w:r>
        <w:t xml:space="preserve">This Purchase Order shall be governed by and construed in accordance with the Commercial Code of Ethiopia and the applicable regulations of the National Bank of Ethiopia. Any disputes arising from this Purchase Order relating to Banker products or services shall be resolved through arbitration in Addis Ababa, Ethiopia.</w:t>
      </w:r>
    </w:p>
    <w:p>
      <w:pPr>
        <w:numPr>
          <w:ilvl w:val="0"/>
          <w:numId w:val="1001"/>
        </w:numPr>
        <w:pStyle w:val="Compact"/>
      </w:pPr>
      <w:r>
        <w:rPr>
          <w:bCs/>
          <w:b/>
        </w:rPr>
        <w:t xml:space="preserve">Delivery:</w:t>
      </w:r>
      <w:r>
        <w:t xml:space="preserve"> </w:t>
      </w:r>
      <w:r>
        <w:t xml:space="preserve">All Banker equipment and materials specified in this Purchase Order shall be delivered to the Banker Financial Services PLC headquarters at Bole Road, Addis Ababa, Ethiopia, no later than 30 July 2025. Delivery shall be made in accordance with the Incoterms 2020 (DAP – Delivered at Place) as applicable within Ethiopia.</w:t>
      </w:r>
    </w:p>
    <w:p>
      <w:pPr>
        <w:numPr>
          <w:ilvl w:val="0"/>
          <w:numId w:val="1001"/>
        </w:numPr>
        <w:pStyle w:val="Compact"/>
      </w:pPr>
      <w:r>
        <w:rPr>
          <w:bCs/>
          <w:b/>
        </w:rPr>
        <w:t xml:space="preserve">Payment:</w:t>
      </w:r>
      <w:r>
        <w:t xml:space="preserve"> </w:t>
      </w:r>
      <w:r>
        <w:t xml:space="preserve">Payment for this Purchase Order shall be made in Ethiopian Birr (ETB) via bank transfer to the supplier's account at a licensed commercial bank in Addis Ababa. A 50% advance payment shall be released within 7 business days of the supplier's written acceptance of this Purchase Order. The remaining 50% balance shall be paid within 14 business days following successful delivery, installation, and written acceptance of all Banker items by the Buyer's technical team in Addis Ababa.</w:t>
      </w:r>
    </w:p>
    <w:p>
      <w:pPr>
        <w:numPr>
          <w:ilvl w:val="0"/>
          <w:numId w:val="1001"/>
        </w:numPr>
        <w:pStyle w:val="Compact"/>
      </w:pPr>
      <w:r>
        <w:rPr>
          <w:bCs/>
          <w:b/>
        </w:rPr>
        <w:t xml:space="preserve">Warranty:</w:t>
      </w:r>
      <w:r>
        <w:t xml:space="preserve"> </w:t>
      </w:r>
      <w:r>
        <w:t xml:space="preserve">All Banker hardware items shall carry a minimum 24-month manufacturer's warranty from the date of acceptance. Software licenses and Banker services shall include 12 months of complimentary technical support. The supplier warrants that all Banker products conform to the specifications outlined in this Purchase Order and comply with Ethiopian National Bank regulatory standards.</w:t>
      </w:r>
    </w:p>
    <w:p>
      <w:pPr>
        <w:numPr>
          <w:ilvl w:val="0"/>
          <w:numId w:val="1001"/>
        </w:numPr>
        <w:pStyle w:val="Compact"/>
      </w:pPr>
      <w:r>
        <w:rPr>
          <w:bCs/>
          <w:b/>
        </w:rPr>
        <w:t xml:space="preserve">Compliance:</w:t>
      </w:r>
      <w:r>
        <w:t xml:space="preserve"> </w:t>
      </w:r>
      <w:r>
        <w:t xml:space="preserve">The supplier shall ensure that all Banker equipment and services comply with the data protection and cybersecurity directives issued by the National Bank of Ethiopia and the Ethiopian Information Network Security Agency (INSA). All Banker software shall be capable of operating in both Amharic and English.</w:t>
      </w:r>
    </w:p>
    <w:p>
      <w:pPr>
        <w:numPr>
          <w:ilvl w:val="0"/>
          <w:numId w:val="1001"/>
        </w:numPr>
        <w:pStyle w:val="Compact"/>
      </w:pPr>
      <w:r>
        <w:rPr>
          <w:bCs/>
          <w:b/>
        </w:rPr>
        <w:t xml:space="preserve">Penalties for Delay:</w:t>
      </w:r>
      <w:r>
        <w:t xml:space="preserve"> </w:t>
      </w:r>
      <w:r>
        <w:t xml:space="preserve">In the event of delayed delivery of any Banker item beyond the stipulated date in this Purchase Order, the supplier shall pay a penalty of 0.5% of the total Purchase Order value per calendar day of delay, up to a maximum of 10% of the total value. Delays exceeding 30 days entitle the Buyer to cancel this Purchase Order without penalty.</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government actions in Ethiopia, or civil unrest affecting the Addis Ababa region.</w:t>
      </w:r>
    </w:p>
    <w:p>
      <w:pPr>
        <w:numPr>
          <w:ilvl w:val="0"/>
          <w:numId w:val="1001"/>
        </w:numPr>
        <w:pStyle w:val="Compact"/>
      </w:pPr>
      <w:r>
        <w:rPr>
          <w:bCs/>
          <w:b/>
        </w:rPr>
        <w:t xml:space="preserve">Confidentiality:</w:t>
      </w:r>
      <w:r>
        <w:t xml:space="preserve"> </w:t>
      </w:r>
      <w:r>
        <w:t xml:space="preserve">Both parties agree to maintain strict confidentiality regarding all Banker proprietary information, client data, and business details exchanged in connection with this Purchase Order. This obligation shall survive the termination of this Purchase Order for a period of five (5) years.</w:t>
      </w:r>
    </w:p>
    <w:bookmarkEnd w:id="25"/>
    <w:bookmarkStart w:id="26" w:name="acceptance-and-authorization"/>
    <w:p>
      <w:pPr>
        <w:pStyle w:val="Heading2"/>
      </w:pPr>
      <w:r>
        <w:t xml:space="preserve">6. Acceptance and Authorization</w:t>
      </w:r>
    </w:p>
    <w:p>
      <w:pPr>
        <w:pStyle w:val="FirstParagraph"/>
      </w:pPr>
      <w:r>
        <w:t xml:space="preserve">This Purchase Order is issued by Banker Financial Services PLC, a licensed banking institution operating in Ethiopia Addis Ababa, and constitutes a binding commitment to purchase the Banker products and services described herein upon the supplier's written acceptance.</w:t>
      </w:r>
    </w:p>
    <w:p>
      <w:pPr>
        <w:pStyle w:val="BodyText"/>
      </w:pPr>
      <w:r>
        <w:rPr>
          <w:bCs/>
          <w:b/>
        </w:rPr>
        <w:t xml:space="preserve">Note:</w:t>
      </w:r>
      <w:r>
        <w:t xml:space="preserve"> </w:t>
      </w:r>
      <w:r>
        <w:t xml:space="preserve">This Purchase Order must be countersigned by an authorized representative of the supplier within 10 business days of receipt. Failure to respond within this period shall be interpreted as rejection of this Purchase Order. All communications regarding this Purchase Order shall be directed to the procurement office of Banker Financial Services PLC, Addis Ababa, Ethiopia.</w:t>
      </w:r>
    </w:p>
    <w:bookmarkEnd w:id="26"/>
    <w:p>
      <w:pPr>
        <w:pStyle w:val="BodyText"/>
      </w:pPr>
      <w:r>
        <w:rPr>
          <w:bCs/>
          <w:b/>
        </w:rPr>
        <w:t xml:space="preserve">For and on behalf of the Buyer:</w:t>
      </w:r>
      <w:r>
        <w:br/>
      </w:r>
      <w:r>
        <w:t xml:space="preserve">Banker Financial Services PLC</w:t>
      </w:r>
      <w:r>
        <w:br/>
      </w:r>
      <w:r>
        <w:t xml:space="preserve">Name: Mr. Tesfaye Alemu</w:t>
      </w:r>
      <w:r>
        <w:br/>
      </w:r>
      <w:r>
        <w:t xml:space="preserve">Title: Head of Procurement</w:t>
      </w:r>
      <w:r>
        <w:br/>
      </w:r>
      <w:r>
        <w:t xml:space="preserve">Date: _______________</w:t>
      </w:r>
    </w:p>
    <w:p>
      <w:pPr>
        <w:pStyle w:val="BodyText"/>
      </w:pPr>
      <w:r>
        <w:rPr>
          <w:bCs/>
          <w:b/>
        </w:rPr>
        <w:t xml:space="preserve">For and on behalf of the Supplier:</w:t>
      </w:r>
      <w:r>
        <w:br/>
      </w:r>
      <w:r>
        <w:t xml:space="preserve">Banker Technology &amp; Solutions International S.A.</w:t>
      </w:r>
      <w:r>
        <w:br/>
      </w:r>
      <w:r>
        <w:t xml:space="preserve">Name: Ms. Hanna Bekele</w:t>
      </w:r>
      <w:r>
        <w:br/>
      </w:r>
      <w:r>
        <w:t xml:space="preserve">Title: Sales Director</w:t>
      </w:r>
      <w:r>
        <w:br/>
      </w:r>
      <w:r>
        <w:t xml:space="preserve">Date: _______________</w:t>
      </w:r>
    </w:p>
    <w:p>
      <w:pPr>
        <w:pStyle w:val="BodyText"/>
      </w:pPr>
      <w:r>
        <w:t xml:space="preserve">Purchase Order No. EAA-BNK-2025-04782 | Issued in Addis Ababa, Ethiopia | Banker Financial Services PLC</w:t>
      </w:r>
    </w:p>
    <w:p>
      <w:pPr>
        <w:pStyle w:val="BodyText"/>
      </w:pPr>
      <w:r>
        <w:t xml:space="preserve">This document is the property of Banker Financial Services PLC, Ethiopia Addis Ababa. Unauthorized reproduction or distribution is prohibited.</w:t>
      </w:r>
    </w:p>
    <w:p>
      <w:pPr>
        <w:pStyle w:val="BodyText"/>
      </w:pPr>
      <w:r>
        <w:t xml:space="preserve">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Banker Services - Ethiopia Addis Ababa</dc:title>
  <dc:creator/>
  <dc:language>en</dc:language>
  <cp:keywords/>
  <dcterms:created xsi:type="dcterms:W3CDTF">2026-10-10T03:47:01Z</dcterms:created>
  <dcterms:modified xsi:type="dcterms:W3CDTF">2026-10-10T03:47:01Z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