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Banker</w:t>
      </w:r>
      <w:r>
        <w:t xml:space="preserve"> </w:t>
      </w:r>
      <w:r>
        <w:t xml:space="preserve">Services</w:t>
      </w:r>
      <w:r>
        <w:t xml:space="preserve"> </w:t>
      </w:r>
      <w:r>
        <w:t xml:space="preserve">&amp;</w:t>
      </w:r>
      <w:r>
        <w:t xml:space="preserve"> </w:t>
      </w:r>
      <w:r>
        <w:t xml:space="preserve">Equipment</w:t>
      </w:r>
      <w:r>
        <w:t xml:space="preserve"> </w:t>
      </w:r>
      <w:r>
        <w:t xml:space="preserve">-</w:t>
      </w:r>
      <w:r>
        <w:t xml:space="preserve"> </w:t>
      </w:r>
      <w:r>
        <w:t xml:space="preserve">Lyon,</w:t>
      </w:r>
      <w:r>
        <w:t xml:space="preserve"> </w:t>
      </w:r>
      <w:r>
        <w:t xml:space="preserve">France</w:t>
      </w:r>
    </w:p>
    <w:bookmarkStart w:id="20" w:name="purchase-order"/>
    <w:p>
      <w:pPr>
        <w:pStyle w:val="Heading1"/>
      </w:pPr>
      <w:r>
        <w:t xml:space="preserve">PURCHASE ORDER</w:t>
      </w:r>
    </w:p>
    <w:p>
      <w:pPr>
        <w:pStyle w:val="FirstParagraph"/>
      </w:pPr>
      <w:r>
        <w:t xml:space="preserve">Official Procurement Document for Banking Operations</w:t>
      </w:r>
    </w:p>
    <w:p>
      <w:pPr>
        <w:pStyle w:val="BodyText"/>
      </w:pPr>
      <w:r>
        <w:t xml:space="preserve">PO No. FR-LY-2025-00487</w:t>
      </w:r>
    </w:p>
    <w:bookmarkEnd w:id="20"/>
    <w:bookmarkStart w:id="21" w:name="buyer-purchasing-entity"/>
    <w:p>
      <w:pPr>
        <w:pStyle w:val="Heading3"/>
      </w:pPr>
      <w:r>
        <w:t xml:space="preserve">Buyer (Purchasing Entity)</w:t>
      </w:r>
    </w:p>
    <w:p>
      <w:pPr>
        <w:pStyle w:val="FirstParagraph"/>
      </w:pPr>
      <w:r>
        <w:rPr>
          <w:bCs/>
          <w:b/>
        </w:rPr>
        <w:t xml:space="preserve">Crédit Lyonnais Banque &amp; Conseil SARL</w:t>
      </w:r>
    </w:p>
    <w:p>
      <w:pPr>
        <w:pStyle w:val="BodyText"/>
      </w:pPr>
      <w:r>
        <w:t xml:space="preserve">12 Quai de Serbie</w:t>
      </w:r>
    </w:p>
    <w:p>
      <w:pPr>
        <w:pStyle w:val="BodyText"/>
      </w:pPr>
      <w:r>
        <w:t xml:space="preserve">69001 Lyon, France</w:t>
      </w:r>
    </w:p>
    <w:p>
      <w:pPr>
        <w:pStyle w:val="BodyText"/>
      </w:pPr>
      <w:r>
        <w:t xml:space="preserve">SIRET: 512 384 729 00034</w:t>
      </w:r>
    </w:p>
    <w:p>
      <w:pPr>
        <w:pStyle w:val="BodyText"/>
      </w:pPr>
      <w:r>
        <w:t xml:space="preserve">TVA: FR 45 512384729</w:t>
      </w:r>
    </w:p>
    <w:p>
      <w:pPr>
        <w:pStyle w:val="BodyText"/>
      </w:pPr>
      <w:r>
        <w:t xml:space="preserve">Contact: M. Philippe Durand, Chief Banker</w:t>
      </w:r>
    </w:p>
    <w:p>
      <w:pPr>
        <w:pStyle w:val="BodyText"/>
      </w:pPr>
      <w:r>
        <w:t xml:space="preserve">Email: p.durand@credit-lyonnais-bc.fr</w:t>
      </w:r>
    </w:p>
    <w:p>
      <w:pPr>
        <w:pStyle w:val="BodyText"/>
      </w:pPr>
      <w:r>
        <w:t xml:space="preserve">Tel: +33 4 72 00 15 89</w:t>
      </w:r>
    </w:p>
    <w:bookmarkEnd w:id="21"/>
    <w:bookmarkStart w:id="22" w:name="supplier-vendor"/>
    <w:p>
      <w:pPr>
        <w:pStyle w:val="Heading3"/>
      </w:pPr>
      <w:r>
        <w:t xml:space="preserve">Supplier (Vendor)</w:t>
      </w:r>
    </w:p>
    <w:p>
      <w:pPr>
        <w:pStyle w:val="FirstParagraph"/>
      </w:pPr>
      <w:r>
        <w:rPr>
          <w:bCs/>
          <w:b/>
        </w:rPr>
        <w:t xml:space="preserve">FinTech Solutions Europe SAS</w:t>
      </w:r>
    </w:p>
    <w:p>
      <w:pPr>
        <w:pStyle w:val="BodyText"/>
      </w:pPr>
      <w:r>
        <w:t xml:space="preserve">45 Rue de la République</w:t>
      </w:r>
    </w:p>
    <w:p>
      <w:pPr>
        <w:pStyle w:val="BodyText"/>
      </w:pPr>
      <w:r>
        <w:t xml:space="preserve">69002 Lyon, France</w:t>
      </w:r>
    </w:p>
    <w:p>
      <w:pPr>
        <w:pStyle w:val="BodyText"/>
      </w:pPr>
      <w:r>
        <w:t xml:space="preserve">SIRET: 897 234 561 00012</w:t>
      </w:r>
    </w:p>
    <w:p>
      <w:pPr>
        <w:pStyle w:val="BodyText"/>
      </w:pPr>
      <w:r>
        <w:t xml:space="preserve">TVA: FR 28 897234561</w:t>
      </w:r>
    </w:p>
    <w:p>
      <w:pPr>
        <w:pStyle w:val="BodyText"/>
      </w:pPr>
      <w:r>
        <w:t xml:space="preserve">Contact: Mme. Claire Fontaine, Sales Director</w:t>
      </w:r>
    </w:p>
    <w:p>
      <w:pPr>
        <w:pStyle w:val="BodyText"/>
      </w:pPr>
      <w:r>
        <w:t xml:space="preserve">Email: c.fontaine@fintech-solutions.eu</w:t>
      </w:r>
    </w:p>
    <w:p>
      <w:pPr>
        <w:pStyle w:val="BodyText"/>
      </w:pPr>
      <w:r>
        <w:t xml:space="preserve">Tel: +33 4 78 42 33 67</w:t>
      </w:r>
    </w:p>
    <w:bookmarkEnd w:id="22"/>
    <w:bookmarkStart w:id="23" w:name="order-details"/>
    <w:p>
      <w:pPr>
        <w:pStyle w:val="Heading3"/>
      </w:pPr>
      <w:r>
        <w:t xml:space="preserve">Order Details</w:t>
      </w:r>
    </w:p>
    <w:p>
      <w:pPr>
        <w:pStyle w:val="FirstParagraph"/>
      </w:pPr>
      <w:r>
        <w:rPr>
          <w:bCs/>
          <w:b/>
        </w:rPr>
        <w:t xml:space="preserve">Purchase Order Date:</w:t>
      </w:r>
      <w:r>
        <w:t xml:space="preserve"> </w:t>
      </w:r>
      <w:r>
        <w:t xml:space="preserve">15 June 2025</w:t>
      </w:r>
    </w:p>
    <w:p>
      <w:pPr>
        <w:pStyle w:val="BodyText"/>
      </w:pPr>
      <w:r>
        <w:rPr>
          <w:bCs/>
          <w:b/>
        </w:rPr>
        <w:t xml:space="preserve">Required Delivery Date:</w:t>
      </w:r>
      <w:r>
        <w:t xml:space="preserve"> </w:t>
      </w:r>
      <w:r>
        <w:t xml:space="preserve">15 July 2025</w:t>
      </w:r>
    </w:p>
    <w:p>
      <w:pPr>
        <w:pStyle w:val="BodyText"/>
      </w:pPr>
      <w:r>
        <w:rPr>
          <w:bCs/>
          <w:b/>
        </w:rPr>
        <w:t xml:space="preserve">Delivery Location:</w:t>
      </w:r>
      <w:r>
        <w:t xml:space="preserve"> </w:t>
      </w:r>
      <w:r>
        <w:t xml:space="preserve">Lyon, France (Main Office, Quai de Serbie)</w:t>
      </w:r>
    </w:p>
    <w:p>
      <w:pPr>
        <w:pStyle w:val="BodyText"/>
      </w:pPr>
      <w:r>
        <w:rPr>
          <w:bCs/>
          <w:b/>
        </w:rPr>
        <w:t xml:space="preserve">Currency:</w:t>
      </w:r>
      <w:r>
        <w:t xml:space="preserve"> </w:t>
      </w:r>
      <w:r>
        <w:t xml:space="preserve">Euro (EUR)</w:t>
      </w:r>
    </w:p>
    <w:p>
      <w:pPr>
        <w:pStyle w:val="BodyText"/>
      </w:pPr>
      <w:r>
        <w:rPr>
          <w:bCs/>
          <w:b/>
        </w:rPr>
        <w:t xml:space="preserve">Payment Terms:</w:t>
      </w:r>
      <w:r>
        <w:t xml:space="preserve"> </w:t>
      </w:r>
      <w:r>
        <w:t xml:space="preserve">Net 30 days from invoice date</w:t>
      </w:r>
    </w:p>
    <w:bookmarkEnd w:id="23"/>
    <w:bookmarkStart w:id="24" w:name="project-reference"/>
    <w:p>
      <w:pPr>
        <w:pStyle w:val="Heading3"/>
      </w:pPr>
      <w:r>
        <w:t xml:space="preserve">Project Reference</w:t>
      </w:r>
    </w:p>
    <w:p>
      <w:pPr>
        <w:pStyle w:val="FirstParagraph"/>
      </w:pPr>
      <w:r>
        <w:rPr>
          <w:bCs/>
          <w:b/>
        </w:rPr>
        <w:t xml:space="preserve">Project:</w:t>
      </w:r>
      <w:r>
        <w:t xml:space="preserve"> </w:t>
      </w:r>
      <w:r>
        <w:t xml:space="preserve">Banker Office Modernization – Lyon</w:t>
      </w:r>
    </w:p>
    <w:p>
      <w:pPr>
        <w:pStyle w:val="BodyText"/>
      </w:pPr>
      <w:r>
        <w:rPr>
          <w:bCs/>
          <w:b/>
        </w:rPr>
        <w:t xml:space="preserve">Department:</w:t>
      </w:r>
      <w:r>
        <w:t xml:space="preserve"> </w:t>
      </w:r>
      <w:r>
        <w:t xml:space="preserve">Retail Banking &amp; Advisory</w:t>
      </w:r>
    </w:p>
    <w:p>
      <w:pPr>
        <w:pStyle w:val="BodyText"/>
      </w:pPr>
      <w:r>
        <w:rPr>
          <w:bCs/>
          <w:b/>
        </w:rPr>
        <w:t xml:space="preserve">Authorized By:</w:t>
      </w:r>
      <w:r>
        <w:t xml:space="preserve"> </w:t>
      </w:r>
      <w:r>
        <w:t xml:space="preserve">M. Philippe Durand, Chief Banker</w:t>
      </w:r>
    </w:p>
    <w:p>
      <w:pPr>
        <w:pStyle w:val="BodyText"/>
      </w:pPr>
      <w:r>
        <w:rPr>
          <w:bCs/>
          <w:b/>
        </w:rPr>
        <w:t xml:space="preserve">Valid Until:</w:t>
      </w:r>
      <w:r>
        <w:t xml:space="preserve"> </w:t>
      </w:r>
      <w:r>
        <w:t xml:space="preserve">30 September 2025</w:t>
      </w:r>
    </w:p>
    <w:p>
      <w:pPr>
        <w:pStyle w:val="BodyText"/>
      </w:pPr>
      <w:r>
        <w:rPr>
          <w:bCs/>
          <w:b/>
        </w:rPr>
        <w:t xml:space="preserve">Incoterms:</w:t>
      </w:r>
      <w:r>
        <w:t xml:space="preserve"> </w:t>
      </w:r>
      <w:r>
        <w:t xml:space="preserve">DAP Lyon, France</w:t>
      </w:r>
    </w:p>
    <w:bookmarkEnd w:id="24"/>
    <w:bookmarkStart w:id="25" w:name="Xb2161ef2e95b38bf7dae49daea8a8b90963fbc0"/>
    <w:p>
      <w:pPr>
        <w:pStyle w:val="Heading2"/>
      </w:pPr>
      <w:r>
        <w:t xml:space="preserve">Line Items – Banker Equipment, Software &amp;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Professional Banker Workstation – Dual 27" 4K Monitors, Ergonomic Chair, Soundproofed Desk (for client consultations in Lyon office)</w:t>
            </w:r>
          </w:p>
        </w:tc>
        <w:tc>
          <w:tcPr/>
          <w:p>
            <w:pPr>
              <w:pStyle w:val="Compact"/>
              <w:jc w:val="left"/>
            </w:pPr>
            <w:r>
              <w:t xml:space="preserve">12</w:t>
            </w:r>
          </w:p>
        </w:tc>
        <w:tc>
          <w:tcPr/>
          <w:p>
            <w:pPr>
              <w:pStyle w:val="Compact"/>
              <w:jc w:val="left"/>
            </w:pPr>
            <w:r>
              <w:t xml:space="preserve">3,450.00</w:t>
            </w:r>
          </w:p>
        </w:tc>
        <w:tc>
          <w:tcPr/>
          <w:p>
            <w:pPr>
              <w:pStyle w:val="Compact"/>
              <w:jc w:val="left"/>
            </w:pPr>
            <w:r>
              <w:t xml:space="preserve">41,400.00</w:t>
            </w:r>
          </w:p>
        </w:tc>
      </w:tr>
      <w:tr>
        <w:tc>
          <w:tcPr/>
          <w:p>
            <w:pPr>
              <w:pStyle w:val="Compact"/>
              <w:jc w:val="left"/>
            </w:pPr>
            <w:r>
              <w:t xml:space="preserve">02</w:t>
            </w:r>
          </w:p>
        </w:tc>
        <w:tc>
          <w:tcPr/>
          <w:p>
            <w:pPr>
              <w:pStyle w:val="Compact"/>
              <w:jc w:val="left"/>
            </w:pPr>
            <w:r>
              <w:t xml:space="preserve">Banker Advisory Software Suite – Licensed for 25 users (portfolio management, risk assessment, client CRM compliant with ACPR regulations)</w:t>
            </w:r>
          </w:p>
        </w:tc>
        <w:tc>
          <w:tcPr/>
          <w:p>
            <w:pPr>
              <w:pStyle w:val="Compact"/>
              <w:jc w:val="left"/>
            </w:pPr>
            <w:r>
              <w:t xml:space="preserve">25</w:t>
            </w:r>
          </w:p>
        </w:tc>
        <w:tc>
          <w:tcPr/>
          <w:p>
            <w:pPr>
              <w:pStyle w:val="Compact"/>
              <w:jc w:val="left"/>
            </w:pPr>
            <w:r>
              <w:t xml:space="preserve">1,890.00</w:t>
            </w:r>
          </w:p>
        </w:tc>
        <w:tc>
          <w:tcPr/>
          <w:p>
            <w:pPr>
              <w:pStyle w:val="Compact"/>
              <w:jc w:val="left"/>
            </w:pPr>
            <w:r>
              <w:t xml:space="preserve">47,250.00</w:t>
            </w:r>
          </w:p>
        </w:tc>
      </w:tr>
      <w:tr>
        <w:tc>
          <w:tcPr/>
          <w:p>
            <w:pPr>
              <w:pStyle w:val="Compact"/>
              <w:jc w:val="left"/>
            </w:pPr>
            <w:r>
              <w:t xml:space="preserve">03</w:t>
            </w:r>
          </w:p>
        </w:tc>
        <w:tc>
          <w:tcPr/>
          <w:p>
            <w:pPr>
              <w:pStyle w:val="Compact"/>
              <w:jc w:val="left"/>
            </w:pPr>
            <w:r>
              <w:t xml:space="preserve">Secure Document Management System for Banker Files – Encrypted storage, GDPR-compliant, hosted in Lyon data center</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04</w:t>
            </w:r>
          </w:p>
        </w:tc>
        <w:tc>
          <w:tcPr/>
          <w:p>
            <w:pPr>
              <w:pStyle w:val="Compact"/>
              <w:jc w:val="left"/>
            </w:pPr>
            <w:r>
              <w:t xml:space="preserve">Biometric Access Control System – Banker-only restricted areas, Lyon headquarters (fingerprint + facial recognition)</w:t>
            </w:r>
          </w:p>
        </w:tc>
        <w:tc>
          <w:tcPr/>
          <w:p>
            <w:pPr>
              <w:pStyle w:val="Compact"/>
              <w:jc w:val="left"/>
            </w:pPr>
            <w:r>
              <w:t xml:space="preserve">1</w:t>
            </w:r>
          </w:p>
        </w:tc>
        <w:tc>
          <w:tcPr/>
          <w:p>
            <w:pPr>
              <w:pStyle w:val="Compact"/>
              <w:jc w:val="left"/>
            </w:pPr>
            <w:r>
              <w:t xml:space="preserve">15,200.00</w:t>
            </w:r>
          </w:p>
        </w:tc>
        <w:tc>
          <w:tcPr/>
          <w:p>
            <w:pPr>
              <w:pStyle w:val="Compact"/>
              <w:jc w:val="left"/>
            </w:pPr>
            <w:r>
              <w:t xml:space="preserve">15,200.00</w:t>
            </w:r>
          </w:p>
        </w:tc>
      </w:tr>
      <w:tr>
        <w:tc>
          <w:tcPr/>
          <w:p>
            <w:pPr>
              <w:pStyle w:val="Compact"/>
              <w:jc w:val="left"/>
            </w:pPr>
            <w:r>
              <w:t xml:space="preserve">05</w:t>
            </w:r>
          </w:p>
        </w:tc>
        <w:tc>
          <w:tcPr/>
          <w:p>
            <w:pPr>
              <w:pStyle w:val="Compact"/>
              <w:jc w:val="left"/>
            </w:pPr>
            <w:r>
              <w:t xml:space="preserve">Annual Banker Training &amp; Certification Program – 40 hours per banker, covering French banking law, ESG advisory, and digital tools (delivered in Lyon)</w:t>
            </w:r>
          </w:p>
        </w:tc>
        <w:tc>
          <w:tcPr/>
          <w:p>
            <w:pPr>
              <w:pStyle w:val="Compact"/>
              <w:jc w:val="left"/>
            </w:pPr>
            <w:r>
              <w:t xml:space="preserve">25</w:t>
            </w:r>
          </w:p>
        </w:tc>
        <w:tc>
          <w:tcPr/>
          <w:p>
            <w:pPr>
              <w:pStyle w:val="Compact"/>
              <w:jc w:val="left"/>
            </w:pPr>
            <w:r>
              <w:t xml:space="preserve">2,100.00</w:t>
            </w:r>
          </w:p>
        </w:tc>
        <w:tc>
          <w:tcPr/>
          <w:p>
            <w:pPr>
              <w:pStyle w:val="Compact"/>
              <w:jc w:val="left"/>
            </w:pPr>
            <w:r>
              <w:t xml:space="preserve">52,500.00</w:t>
            </w:r>
          </w:p>
        </w:tc>
      </w:tr>
      <w:tr>
        <w:tc>
          <w:tcPr/>
          <w:p>
            <w:pPr>
              <w:pStyle w:val="Compact"/>
              <w:jc w:val="left"/>
            </w:pPr>
            <w:r>
              <w:t xml:space="preserve">06</w:t>
            </w:r>
          </w:p>
        </w:tc>
        <w:tc>
          <w:tcPr/>
          <w:p>
            <w:pPr>
              <w:pStyle w:val="Compact"/>
              <w:jc w:val="left"/>
            </w:pPr>
            <w:r>
              <w:t xml:space="preserve">Client Meeting Room AV Package – 4K conferencing, encrypted video, French/English simultaneous interpretation system (for international banker-client meetings)</w:t>
            </w:r>
          </w:p>
        </w:tc>
        <w:tc>
          <w:tcPr/>
          <w:p>
            <w:pPr>
              <w:pStyle w:val="Compact"/>
              <w:jc w:val="left"/>
            </w:pPr>
            <w:r>
              <w:t xml:space="preserve">3</w:t>
            </w:r>
          </w:p>
        </w:tc>
        <w:tc>
          <w:tcPr/>
          <w:p>
            <w:pPr>
              <w:pStyle w:val="Compact"/>
              <w:jc w:val="left"/>
            </w:pPr>
            <w:r>
              <w:t xml:space="preserve">8,750.00</w:t>
            </w:r>
          </w:p>
        </w:tc>
        <w:tc>
          <w:tcPr/>
          <w:p>
            <w:pPr>
              <w:pStyle w:val="Compact"/>
              <w:jc w:val="left"/>
            </w:pPr>
            <w:r>
              <w:t xml:space="preserve">26,250.00</w:t>
            </w:r>
          </w:p>
        </w:tc>
      </w:tr>
      <w:tr>
        <w:tc>
          <w:tcPr/>
          <w:p>
            <w:pPr>
              <w:pStyle w:val="Compact"/>
              <w:jc w:val="left"/>
            </w:pPr>
            <w:r>
              <w:t xml:space="preserve">07</w:t>
            </w:r>
          </w:p>
        </w:tc>
        <w:tc>
          <w:tcPr/>
          <w:p>
            <w:pPr>
              <w:pStyle w:val="Compact"/>
              <w:jc w:val="left"/>
            </w:pPr>
            <w:r>
              <w:t xml:space="preserve">Banker Mobile Device Fleet – Hardened tablets with secure banking apps, Lyon-based MDM enrollment</w:t>
            </w:r>
          </w:p>
        </w:tc>
        <w:tc>
          <w:tcPr/>
          <w:p>
            <w:pPr>
              <w:pStyle w:val="Compact"/>
              <w:jc w:val="left"/>
            </w:pPr>
            <w:r>
              <w:t xml:space="preserve">25</w:t>
            </w:r>
          </w:p>
        </w:tc>
        <w:tc>
          <w:tcPr/>
          <w:p>
            <w:pPr>
              <w:pStyle w:val="Compact"/>
              <w:jc w:val="left"/>
            </w:pPr>
            <w:r>
              <w:t xml:space="preserve">1,320.00</w:t>
            </w:r>
          </w:p>
        </w:tc>
        <w:tc>
          <w:tcPr/>
          <w:p>
            <w:pPr>
              <w:pStyle w:val="Compact"/>
              <w:jc w:val="left"/>
            </w:pPr>
            <w:r>
              <w:t xml:space="preserve">33,000.00</w:t>
            </w:r>
          </w:p>
        </w:tc>
      </w:tr>
      <w:tr>
        <w:tc>
          <w:tcPr/>
          <w:p>
            <w:pPr>
              <w:pStyle w:val="Compact"/>
              <w:jc w:val="left"/>
            </w:pPr>
            <w:r>
              <w:t xml:space="preserve">08</w:t>
            </w:r>
          </w:p>
        </w:tc>
        <w:tc>
          <w:tcPr/>
          <w:p>
            <w:pPr>
              <w:pStyle w:val="Compact"/>
              <w:jc w:val="left"/>
            </w:pPr>
            <w:r>
              <w:t xml:space="preserve">Installation, Configuration &amp; On-Site Commissioning – Lyon, France (all items above, including network integration and banker user provisioning)</w:t>
            </w:r>
          </w:p>
        </w:tc>
        <w:tc>
          <w:tcPr/>
          <w:p>
            <w:pPr>
              <w:pStyle w:val="Compact"/>
              <w:jc w:val="left"/>
            </w:pPr>
            <w:r>
              <w:t xml:space="preserve">1</w:t>
            </w:r>
          </w:p>
        </w:tc>
        <w:tc>
          <w:tcPr/>
          <w:p>
            <w:pPr>
              <w:pStyle w:val="Compact"/>
              <w:jc w:val="left"/>
            </w:pPr>
            <w:r>
              <w:t xml:space="preserve">12,800.00</w:t>
            </w:r>
          </w:p>
        </w:tc>
        <w:tc>
          <w:tcPr/>
          <w:p>
            <w:pPr>
              <w:pStyle w:val="Compact"/>
              <w:jc w:val="left"/>
            </w:pPr>
            <w:r>
              <w:t xml:space="preserve">12,800.00</w:t>
            </w:r>
          </w:p>
        </w:tc>
      </w:tr>
      <w:tr>
        <w:tc>
          <w:tcPr>
            <w:gridSpan w:val="4"/>
          </w:tcPr>
          <w:p>
            <w:pPr>
              <w:pStyle w:val="Compact"/>
              <w:jc w:val="right"/>
            </w:pPr>
            <w:r>
              <w:t xml:space="preserve">Subtotal (EUR)</w:t>
            </w:r>
          </w:p>
        </w:tc>
        <w:tc>
          <w:tcPr/>
          <w:p>
            <w:pPr>
              <w:pStyle w:val="Compact"/>
              <w:jc w:val="left"/>
            </w:pPr>
            <w:r>
              <w:t xml:space="preserve">256,900.00</w:t>
            </w:r>
          </w:p>
        </w:tc>
      </w:tr>
      <w:tr>
        <w:tc>
          <w:tcPr>
            <w:gridSpan w:val="4"/>
          </w:tcPr>
          <w:p>
            <w:pPr>
              <w:pStyle w:val="Compact"/>
              <w:jc w:val="right"/>
            </w:pPr>
            <w:r>
              <w:t xml:space="preserve">TVA 20% (France – Lyon)</w:t>
            </w:r>
          </w:p>
        </w:tc>
        <w:tc>
          <w:tcPr/>
          <w:p>
            <w:pPr>
              <w:pStyle w:val="Compact"/>
              <w:jc w:val="left"/>
            </w:pPr>
            <w:r>
              <w:t xml:space="preserve">51,380.00</w:t>
            </w:r>
          </w:p>
        </w:tc>
      </w:tr>
      <w:tr>
        <w:tc>
          <w:tcPr>
            <w:gridSpan w:val="4"/>
          </w:tcPr>
          <w:p>
            <w:pPr>
              <w:pStyle w:val="Compact"/>
              <w:jc w:val="right"/>
            </w:pPr>
            <w:r>
              <w:rPr>
                <w:bCs/>
                <w:b/>
              </w:rPr>
              <w:t xml:space="preserve">Grand Total (EUR)</w:t>
            </w:r>
          </w:p>
        </w:tc>
        <w:tc>
          <w:tcPr/>
          <w:p>
            <w:pPr>
              <w:pStyle w:val="Compact"/>
              <w:jc w:val="left"/>
            </w:pPr>
            <w:r>
              <w:rPr>
                <w:bCs/>
                <w:b/>
              </w:rPr>
              <w:t xml:space="preserve">308,280.00</w:t>
            </w:r>
          </w:p>
        </w:tc>
      </w:tr>
    </w:tbl>
    <w:bookmarkEnd w:id="25"/>
    <w:bookmarkStart w:id="26" w:name="terms-conditions"/>
    <w:p>
      <w:pPr>
        <w:pStyle w:val="Heading2"/>
      </w:pPr>
      <w:r>
        <w:t xml:space="preserve">Terms &amp; Conditions</w:t>
      </w:r>
    </w:p>
    <w:p>
      <w:pPr>
        <w:numPr>
          <w:ilvl w:val="0"/>
          <w:numId w:val="1001"/>
        </w:numPr>
        <w:pStyle w:val="Compact"/>
      </w:pPr>
      <w:r>
        <w:t xml:space="preserve">This</w:t>
      </w:r>
      <w:r>
        <w:t xml:space="preserve"> </w:t>
      </w:r>
      <w:r>
        <w:t xml:space="preserve">Purchase Order</w:t>
      </w:r>
      <w:r>
        <w:t xml:space="preserve"> </w:t>
      </w:r>
      <w:r>
        <w:t xml:space="preserve">is issued in accordance with the French Commercial Code (Code de commerce) and applicable regulations of the Autorité de Contrôle Prudentiel et de Résolution (ACPR) governing banking operations in</w:t>
      </w:r>
      <w:r>
        <w:t xml:space="preserve"> </w:t>
      </w:r>
      <w:r>
        <w:t xml:space="preserve">France Lyon</w:t>
      </w:r>
      <w:r>
        <w:t xml:space="preserve"> </w:t>
      </w:r>
      <w:r>
        <w:t xml:space="preserve">and the broader Auvergne-Rhône-Alpes region.</w:t>
      </w:r>
    </w:p>
    <w:p>
      <w:pPr>
        <w:numPr>
          <w:ilvl w:val="0"/>
          <w:numId w:val="1001"/>
        </w:numPr>
        <w:pStyle w:val="Compact"/>
      </w:pPr>
      <w:r>
        <w:t xml:space="preserve">All goods and services procured under this</w:t>
      </w:r>
      <w:r>
        <w:t xml:space="preserve"> </w:t>
      </w:r>
      <w:r>
        <w:t xml:space="preserve">Purchase Order</w:t>
      </w:r>
      <w:r>
        <w:t xml:space="preserve"> </w:t>
      </w:r>
      <w:r>
        <w:t xml:space="preserve">shall be delivered, installed, and commissioned at the buyer's premises located in</w:t>
      </w:r>
      <w:r>
        <w:t xml:space="preserve"> </w:t>
      </w:r>
      <w:r>
        <w:t xml:space="preserve">Lyon, France</w:t>
      </w:r>
      <w:r>
        <w:t xml:space="preserve">, at the address specified above. The supplier shall bear all transportation, insurance, and handling costs up to the point of delivery (Incoterms 2020: DAP Lyon, France).</w:t>
      </w:r>
    </w:p>
    <w:p>
      <w:pPr>
        <w:numPr>
          <w:ilvl w:val="0"/>
          <w:numId w:val="1001"/>
        </w:numPr>
        <w:pStyle w:val="Compact"/>
      </w:pPr>
      <w:r>
        <w:t xml:space="preserve">The supplier warrants that all banking software, hardware, and services provided under this</w:t>
      </w:r>
      <w:r>
        <w:t xml:space="preserve"> </w:t>
      </w:r>
      <w:r>
        <w:t xml:space="preserve">Purchase Order</w:t>
      </w:r>
      <w:r>
        <w:t xml:space="preserve"> </w:t>
      </w:r>
      <w:r>
        <w:t xml:space="preserve">are fit for purpose for a professional</w:t>
      </w:r>
      <w:r>
        <w:t xml:space="preserve"> </w:t>
      </w:r>
      <w:r>
        <w:t xml:space="preserve">banker</w:t>
      </w:r>
      <w:r>
        <w:t xml:space="preserve"> </w:t>
      </w:r>
      <w:r>
        <w:t xml:space="preserve">operating in the French financial sector, comply with RGPD (GDPR) data protection requirements, and meet the security standards mandated by the Banque de France for institutions operating in</w:t>
      </w:r>
      <w:r>
        <w:t xml:space="preserve"> </w:t>
      </w:r>
      <w:r>
        <w:t xml:space="preserve">France Lyon</w:t>
      </w:r>
      <w:r>
        <w:t xml:space="preserve">.</w:t>
      </w:r>
    </w:p>
    <w:p>
      <w:pPr>
        <w:numPr>
          <w:ilvl w:val="0"/>
          <w:numId w:val="1001"/>
        </w:numPr>
        <w:pStyle w:val="Compact"/>
      </w:pPr>
      <w:r>
        <w:t xml:space="preserve">Payment shall be made by bank transfer (virement bancaire) to the supplier's designated account within thirty (30) calendar days of receipt of a valid invoice, in accordance with the statutory payment terms under French law (Article L441-10 du Code de commerce). Late payment shall incur interest at the statutory rate plus a penalty of 1.5 times the base rate of the European Central Bank.</w:t>
      </w:r>
    </w:p>
    <w:p>
      <w:pPr>
        <w:numPr>
          <w:ilvl w:val="0"/>
          <w:numId w:val="1001"/>
        </w:numPr>
        <w:pStyle w:val="Compact"/>
      </w:pPr>
      <w:r>
        <w:t xml:space="preserve">The supplier shall provide a minimum of twenty-four (24) months of warranty on all hardware items and twelve (12) months of software support and updates. Any defects discovered during the warranty period shall be remedied at the supplier's sole cost within ten (10) business days of written notification by the buyer's designated</w:t>
      </w:r>
      <w:r>
        <w:t xml:space="preserve"> </w:t>
      </w:r>
      <w:r>
        <w:t xml:space="preserve">banker</w:t>
      </w:r>
      <w:r>
        <w:t xml:space="preserve"> </w:t>
      </w:r>
      <w:r>
        <w:t xml:space="preserve">representative in Lyon.</w:t>
      </w:r>
    </w:p>
    <w:p>
      <w:pPr>
        <w:numPr>
          <w:ilvl w:val="0"/>
          <w:numId w:val="1001"/>
        </w:numPr>
        <w:pStyle w:val="Compact"/>
      </w:pPr>
      <w:r>
        <w:t xml:space="preserve">Confidentiality: All information exchanged in connection with this</w:t>
      </w:r>
      <w:r>
        <w:t xml:space="preserve"> </w:t>
      </w:r>
      <w:r>
        <w:t xml:space="preserve">Purchase Order</w:t>
      </w:r>
      <w:r>
        <w:t xml:space="preserve">, including client data, financial records, and operational procedures of the</w:t>
      </w:r>
      <w:r>
        <w:t xml:space="preserve"> </w:t>
      </w:r>
      <w:r>
        <w:t xml:space="preserve">banker</w:t>
      </w:r>
      <w:r>
        <w:t xml:space="preserve"> </w:t>
      </w:r>
      <w:r>
        <w:t xml:space="preserve">team, shall be treated as strictly confidential. The supplier shall not disclose, reproduce, or use such information for any purpose other than the performance of this order, in compliance with French banking secrecy law (Article L511-33 du Code monétaire et financier).</w:t>
      </w:r>
    </w:p>
    <w:p>
      <w:pPr>
        <w:numPr>
          <w:ilvl w:val="0"/>
          <w:numId w:val="1001"/>
        </w:numPr>
        <w:pStyle w:val="Compact"/>
      </w:pPr>
      <w:r>
        <w:t xml:space="preserve">Force Majeure: Neither party shall be liable for failure to perform obligations under this</w:t>
      </w:r>
      <w:r>
        <w:t xml:space="preserve"> </w:t>
      </w:r>
      <w:r>
        <w:t xml:space="preserve">Purchase Order</w:t>
      </w:r>
      <w:r>
        <w:t xml:space="preserve"> </w:t>
      </w:r>
      <w:r>
        <w:t xml:space="preserve">due to events beyond reasonable control, including but not limited to natural disasters, strikes, or government-mandated closures affecting operations in</w:t>
      </w:r>
      <w:r>
        <w:t xml:space="preserve"> </w:t>
      </w:r>
      <w:r>
        <w:t xml:space="preserve">France Lyon</w:t>
      </w:r>
      <w:r>
        <w:t xml:space="preserve">.</w:t>
      </w:r>
    </w:p>
    <w:p>
      <w:pPr>
        <w:numPr>
          <w:ilvl w:val="0"/>
          <w:numId w:val="1001"/>
        </w:numPr>
        <w:pStyle w:val="Compact"/>
      </w:pPr>
      <w:r>
        <w:t xml:space="preserve">Governing Law &amp; Jurisdiction: This</w:t>
      </w:r>
      <w:r>
        <w:t xml:space="preserve"> </w:t>
      </w:r>
      <w:r>
        <w:t xml:space="preserve">Purchase Order</w:t>
      </w:r>
      <w:r>
        <w:t xml:space="preserve"> </w:t>
      </w:r>
      <w:r>
        <w:t xml:space="preserve">shall be governed by and construed in accordance with the laws of France. Any dispute arising from or in connection with this order shall be submitted to the exclusive jurisdiction of the Tribunal de Commerce de Lyon,</w:t>
      </w:r>
      <w:r>
        <w:t xml:space="preserve"> </w:t>
      </w:r>
      <w:r>
        <w:t xml:space="preserve">France</w:t>
      </w:r>
      <w:r>
        <w:t xml:space="preserve">.</w:t>
      </w:r>
    </w:p>
    <w:p>
      <w:pPr>
        <w:numPr>
          <w:ilvl w:val="0"/>
          <w:numId w:val="1001"/>
        </w:numPr>
        <w:pStyle w:val="Compact"/>
      </w:pPr>
      <w:r>
        <w:t xml:space="preserve">This</w:t>
      </w:r>
      <w:r>
        <w:t xml:space="preserve"> </w:t>
      </w:r>
      <w:r>
        <w:t xml:space="preserve">Purchase Order</w:t>
      </w:r>
      <w:r>
        <w:t xml:space="preserve"> </w:t>
      </w:r>
      <w:r>
        <w:t xml:space="preserve">becomes effective upon signature by both parties and remains valid until the completion of all deliverables or until 30 September 2025, whichever occurs first. Any amendments must be made in writing and signed by both parties.</w:t>
      </w:r>
    </w:p>
    <w:bookmarkEnd w:id="26"/>
    <w:bookmarkStart w:id="29" w:name="acceptance-signatures"/>
    <w:p>
      <w:pPr>
        <w:pStyle w:val="Heading2"/>
      </w:pPr>
      <w:r>
        <w:t xml:space="preserve">Acceptance &amp; Signatures</w:t>
      </w:r>
    </w:p>
    <w:p>
      <w:pPr>
        <w:pStyle w:val="FirstParagraph"/>
      </w:pPr>
      <w:r>
        <w:t xml:space="preserve">By signing below, both parties confirm their agreement to the terms, conditions, and specifications outlined in this</w:t>
      </w:r>
      <w:r>
        <w:t xml:space="preserve"> </w:t>
      </w:r>
      <w:r>
        <w:t xml:space="preserve">Purchase Order</w:t>
      </w:r>
      <w:r>
        <w:t xml:space="preserve"> </w:t>
      </w:r>
      <w:r>
        <w:t xml:space="preserve">for the procurement of banker equipment, software, and services to be delivered in</w:t>
      </w:r>
      <w:r>
        <w:t xml:space="preserve"> </w:t>
      </w:r>
      <w:r>
        <w:t xml:space="preserve">Lyon, France</w:t>
      </w:r>
      <w:r>
        <w:t xml:space="preserve">.</w:t>
      </w:r>
    </w:p>
    <w:bookmarkStart w:id="27" w:name="Xf2b606b8cd556fafde24b09dcfe33c5f4fd1c8f"/>
    <w:p>
      <w:pPr>
        <w:pStyle w:val="Heading4"/>
      </w:pPr>
      <w:r>
        <w:t xml:space="preserve">For the Buyer – Crédit Lyonnais Banque &amp; Conseil SARL</w:t>
      </w:r>
    </w:p>
    <w:p>
      <w:pPr>
        <w:pStyle w:val="FirstParagraph"/>
      </w:pPr>
      <w:r>
        <w:t xml:space="preserve">Name: M. Philippe Durand</w:t>
      </w:r>
    </w:p>
    <w:p>
      <w:pPr>
        <w:pStyle w:val="BodyText"/>
      </w:pPr>
      <w:r>
        <w:t xml:space="preserve">Title: Chief Banker / Directeur Général</w:t>
      </w:r>
    </w:p>
    <w:p>
      <w:pPr>
        <w:pStyle w:val="BodyText"/>
      </w:pPr>
      <w:r>
        <w:t xml:space="preserve">Date: ____________________</w:t>
      </w:r>
    </w:p>
    <w:p>
      <w:pPr>
        <w:pStyle w:val="BodyText"/>
      </w:pPr>
      <w:r>
        <w:t xml:space="preserve">Signature &amp; Company Stamp:</w:t>
      </w:r>
    </w:p>
    <w:bookmarkEnd w:id="27"/>
    <w:bookmarkStart w:id="28" w:name="X42262c689a01d46f03c47cb05364e6f1f8331e7"/>
    <w:p>
      <w:pPr>
        <w:pStyle w:val="Heading4"/>
      </w:pPr>
      <w:r>
        <w:t xml:space="preserve">For the Supplier – FinTech Solutions Europe SAS</w:t>
      </w:r>
    </w:p>
    <w:p>
      <w:pPr>
        <w:pStyle w:val="FirstParagraph"/>
      </w:pPr>
      <w:r>
        <w:t xml:space="preserve">Name: Mme. Claire Fontaine</w:t>
      </w:r>
    </w:p>
    <w:p>
      <w:pPr>
        <w:pStyle w:val="BodyText"/>
      </w:pPr>
      <w:r>
        <w:t xml:space="preserve">Title: Sales Director</w:t>
      </w:r>
    </w:p>
    <w:p>
      <w:pPr>
        <w:pStyle w:val="BodyText"/>
      </w:pPr>
      <w:r>
        <w:t xml:space="preserve">Date: ____________________</w:t>
      </w:r>
    </w:p>
    <w:p>
      <w:pPr>
        <w:pStyle w:val="BodyText"/>
      </w:pPr>
      <w:r>
        <w:t xml:space="preserve">Signature &amp; Company Stamp:</w:t>
      </w:r>
    </w:p>
    <w:bookmarkEnd w:id="28"/>
    <w:p>
      <w:pPr>
        <w:pStyle w:val="BodyText"/>
      </w:pPr>
      <w:r>
        <w:rPr>
          <w:bCs/>
          <w:b/>
        </w:rPr>
        <w:t xml:space="preserve">Purchase Order</w:t>
      </w:r>
      <w:r>
        <w:t xml:space="preserve"> </w:t>
      </w:r>
      <w:r>
        <w:t xml:space="preserve">No. FR-LY-2025-00487 | Issued in Lyon, France | Page 1 of 1</w:t>
      </w:r>
    </w:p>
    <w:p>
      <w:pPr>
        <w:pStyle w:val="BodyText"/>
      </w:pPr>
      <w:r>
        <w:t xml:space="preserve">This document is the property of Crédit Lyonnais Banque &amp; Conseil SARL. Unauthorized reproduction or distribution is prohibited under French intellectual property law (Code de la propriété intellectuelle).</w:t>
      </w:r>
    </w:p>
    <w:p>
      <w:pPr>
        <w:pStyle w:val="BodyText"/>
      </w:pPr>
      <w:r>
        <w:t xml:space="preserve">Document reference for the</w:t>
      </w:r>
      <w:r>
        <w:t xml:space="preserve"> </w:t>
      </w:r>
      <w:r>
        <w:t xml:space="preserve">banker</w:t>
      </w:r>
      <w:r>
        <w:t xml:space="preserve"> </w:t>
      </w:r>
      <w:r>
        <w:t xml:space="preserve">procurement file – Lyon,</w:t>
      </w:r>
      <w:r>
        <w:t xml:space="preserve"> </w:t>
      </w:r>
      <w:r>
        <w:t xml:space="preserve">France</w:t>
      </w:r>
      <w:r>
        <w:t xml:space="preserve"> </w:t>
      </w:r>
      <w:r>
        <w:t xml:space="preserve">– 2025</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Banker Services &amp; Equipment - Lyon, France</dc:title>
  <dc:creator/>
  <dc:language>en</dc:language>
  <cp:keywords/>
  <dcterms:created xsi:type="dcterms:W3CDTF">2026-10-10T04:11:32Z</dcterms:created>
  <dcterms:modified xsi:type="dcterms:W3CDTF">2026-10-10T04:11:32Z</dcterms:modified>
</cp:coreProperties>
</file>

<file path=docProps/custom.xml><?xml version="1.0" encoding="utf-8"?>
<Properties xmlns="http://schemas.openxmlformats.org/officeDocument/2006/custom-properties" xmlns:vt="http://schemas.openxmlformats.org/officeDocument/2006/docPropsVTypes"/>
</file>