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France</w:t>
      </w:r>
      <w:r>
        <w:t xml:space="preserve"> </w:t>
      </w:r>
      <w:r>
        <w:t xml:space="preserve">Paris</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PO-FR-2025-0847-BNK</w:t>
      </w:r>
    </w:p>
    <w:p>
      <w:pPr>
        <w:pStyle w:val="BodyText"/>
      </w:pPr>
      <w:r>
        <w:rPr>
          <w:bCs/>
          <w:b/>
        </w:rPr>
        <w:t xml:space="preserve">Date of Issue:</w:t>
      </w:r>
      <w:r>
        <w:t xml:space="preserve"> </w:t>
      </w:r>
      <w:r>
        <w:t xml:space="preserve">14 June 2025</w:t>
      </w:r>
    </w:p>
    <w:p>
      <w:pPr>
        <w:pStyle w:val="BodyText"/>
      </w:pPr>
      <w:r>
        <w:rPr>
          <w:bCs/>
          <w:b/>
        </w:rPr>
        <w:t xml:space="preserve">Country of Jurisdiction:</w:t>
      </w:r>
      <w:r>
        <w:t xml:space="preserve"> </w:t>
      </w:r>
      <w:r>
        <w:t xml:space="preserve">France Paris</w:t>
      </w:r>
    </w:p>
    <w:p>
      <w:pPr>
        <w:pStyle w:val="BodyText"/>
      </w:pPr>
      <w:r>
        <w:rPr>
          <w:bCs/>
          <w:b/>
        </w:rPr>
        <w:t xml:space="preserve">Valid Until:</w:t>
      </w:r>
      <w:r>
        <w:t xml:space="preserve"> </w:t>
      </w:r>
      <w:r>
        <w:t xml:space="preserve">14 September 2025</w:t>
      </w:r>
    </w:p>
    <w:p>
      <w:pPr>
        <w:pStyle w:val="BodyText"/>
      </w:pPr>
      <w:r>
        <w:t xml:space="preserve">CONFIDENTIAL</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Paris</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Générale de Commerce et Industrie SAS</w:t>
            </w:r>
          </w:p>
        </w:tc>
      </w:tr>
      <w:tr>
        <w:tc>
          <w:tcPr/>
          <w:p>
            <w:pPr>
              <w:pStyle w:val="Compact"/>
              <w:jc w:val="left"/>
            </w:pPr>
            <w:r>
              <w:t xml:space="preserve">Address</w:t>
            </w:r>
          </w:p>
        </w:tc>
        <w:tc>
          <w:tcPr/>
          <w:p>
            <w:pPr>
              <w:pStyle w:val="Compact"/>
              <w:jc w:val="left"/>
            </w:pPr>
            <w:r>
              <w:t xml:space="preserve">42 Avenue de l'Opéra, 75001 Paris, France</w:t>
            </w:r>
          </w:p>
        </w:tc>
      </w:tr>
      <w:tr>
        <w:tc>
          <w:tcPr/>
          <w:p>
            <w:pPr>
              <w:pStyle w:val="Compact"/>
              <w:jc w:val="left"/>
            </w:pPr>
            <w:r>
              <w:t xml:space="preserve">City / Region</w:t>
            </w:r>
          </w:p>
        </w:tc>
        <w:tc>
          <w:tcPr/>
          <w:p>
            <w:pPr>
              <w:pStyle w:val="Compact"/>
              <w:jc w:val="left"/>
            </w:pPr>
            <w:r>
              <w:t xml:space="preserve">France Paris, Île-de-France</w:t>
            </w:r>
          </w:p>
        </w:tc>
      </w:tr>
      <w:tr>
        <w:tc>
          <w:tcPr/>
          <w:p>
            <w:pPr>
              <w:pStyle w:val="Compact"/>
              <w:jc w:val="left"/>
            </w:pPr>
            <w:r>
              <w:t xml:space="preserve">Country</w:t>
            </w:r>
          </w:p>
        </w:tc>
        <w:tc>
          <w:tcPr/>
          <w:p>
            <w:pPr>
              <w:pStyle w:val="Compact"/>
              <w:jc w:val="left"/>
            </w:pPr>
            <w:r>
              <w:t xml:space="preserve">France</w:t>
            </w:r>
          </w:p>
        </w:tc>
      </w:tr>
      <w:tr>
        <w:tc>
          <w:tcPr/>
          <w:p>
            <w:pPr>
              <w:pStyle w:val="Compact"/>
              <w:jc w:val="left"/>
            </w:pPr>
            <w:r>
              <w:t xml:space="preserve">VAT Number</w:t>
            </w:r>
          </w:p>
        </w:tc>
        <w:tc>
          <w:tcPr/>
          <w:p>
            <w:pPr>
              <w:pStyle w:val="Compact"/>
              <w:jc w:val="left"/>
            </w:pPr>
            <w:r>
              <w:t xml:space="preserve">FR 84 552198734</w:t>
            </w:r>
          </w:p>
        </w:tc>
      </w:tr>
      <w:tr>
        <w:tc>
          <w:tcPr/>
          <w:p>
            <w:pPr>
              <w:pStyle w:val="Compact"/>
              <w:jc w:val="left"/>
            </w:pPr>
            <w:r>
              <w:t xml:space="preserve">Contact Person</w:t>
            </w:r>
          </w:p>
        </w:tc>
        <w:tc>
          <w:tcPr/>
          <w:p>
            <w:pPr>
              <w:pStyle w:val="Compact"/>
              <w:jc w:val="left"/>
            </w:pPr>
            <w:r>
              <w:t xml:space="preserve">Mme. Claire Dubois, Director of Procurement</w:t>
            </w:r>
          </w:p>
        </w:tc>
      </w:tr>
      <w:tr>
        <w:tc>
          <w:tcPr/>
          <w:p>
            <w:pPr>
              <w:pStyle w:val="Compact"/>
              <w:jc w:val="left"/>
            </w:pPr>
            <w:r>
              <w:t xml:space="preserve">Email</w:t>
            </w:r>
          </w:p>
        </w:tc>
        <w:tc>
          <w:tcPr/>
          <w:p>
            <w:pPr>
              <w:pStyle w:val="Compact"/>
              <w:jc w:val="left"/>
            </w:pPr>
            <w:r>
              <w:t xml:space="preserve">c.dubois@sgci-paris.fr</w:t>
            </w:r>
          </w:p>
        </w:tc>
      </w:tr>
      <w:tr>
        <w:tc>
          <w:tcPr/>
          <w:p>
            <w:pPr>
              <w:pStyle w:val="Compact"/>
              <w:jc w:val="left"/>
            </w:pPr>
            <w:r>
              <w:t xml:space="preserve">Telephone</w:t>
            </w:r>
          </w:p>
        </w:tc>
        <w:tc>
          <w:tcPr/>
          <w:p>
            <w:pPr>
              <w:pStyle w:val="Compact"/>
              <w:jc w:val="left"/>
            </w:pPr>
            <w:r>
              <w:t xml:space="preserve">+33 1 42 60 88 45</w:t>
            </w:r>
          </w:p>
        </w:tc>
      </w:tr>
    </w:tbl>
    <w:bookmarkEnd w:id="20"/>
    <w:bookmarkStart w:id="21"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Crédit Lyonnais Banque Privée SA</w:t>
            </w:r>
          </w:p>
        </w:tc>
      </w:tr>
      <w:tr>
        <w:tc>
          <w:tcPr/>
          <w:p>
            <w:pPr>
              <w:pStyle w:val="Compact"/>
              <w:jc w:val="left"/>
            </w:pPr>
            <w:r>
              <w:t xml:space="preserve">Address</w:t>
            </w:r>
          </w:p>
        </w:tc>
        <w:tc>
          <w:tcPr/>
          <w:p>
            <w:pPr>
              <w:pStyle w:val="Compact"/>
              <w:jc w:val="left"/>
            </w:pPr>
            <w:r>
              <w:t xml:space="preserve">18 Place de la Bourse, 75002 Paris, France</w:t>
            </w:r>
          </w:p>
        </w:tc>
      </w:tr>
      <w:tr>
        <w:tc>
          <w:tcPr/>
          <w:p>
            <w:pPr>
              <w:pStyle w:val="Compact"/>
              <w:jc w:val="left"/>
            </w:pPr>
            <w:r>
              <w:t xml:space="preserve">City / Region</w:t>
            </w:r>
          </w:p>
        </w:tc>
        <w:tc>
          <w:tcPr/>
          <w:p>
            <w:pPr>
              <w:pStyle w:val="Compact"/>
              <w:jc w:val="left"/>
            </w:pPr>
            <w:r>
              <w:t xml:space="preserve">France Paris, Île-de-France</w:t>
            </w:r>
          </w:p>
        </w:tc>
      </w:tr>
      <w:tr>
        <w:tc>
          <w:tcPr/>
          <w:p>
            <w:pPr>
              <w:pStyle w:val="Compact"/>
              <w:jc w:val="left"/>
            </w:pPr>
            <w:r>
              <w:t xml:space="preserve">Country</w:t>
            </w:r>
          </w:p>
        </w:tc>
        <w:tc>
          <w:tcPr/>
          <w:p>
            <w:pPr>
              <w:pStyle w:val="Compact"/>
              <w:jc w:val="left"/>
            </w:pPr>
            <w:r>
              <w:t xml:space="preserve">France</w:t>
            </w:r>
          </w:p>
        </w:tc>
      </w:tr>
      <w:tr>
        <w:tc>
          <w:tcPr/>
          <w:p>
            <w:pPr>
              <w:pStyle w:val="Compact"/>
              <w:jc w:val="left"/>
            </w:pPr>
            <w:r>
              <w:t xml:space="preserve">VAT Number</w:t>
            </w:r>
          </w:p>
        </w:tc>
        <w:tc>
          <w:tcPr/>
          <w:p>
            <w:pPr>
              <w:pStyle w:val="Compact"/>
              <w:jc w:val="left"/>
            </w:pPr>
            <w:r>
              <w:t xml:space="preserve">FR 21 334455667</w:t>
            </w:r>
          </w:p>
        </w:tc>
      </w:tr>
      <w:tr>
        <w:tc>
          <w:tcPr/>
          <w:p>
            <w:pPr>
              <w:pStyle w:val="Compact"/>
              <w:jc w:val="left"/>
            </w:pPr>
            <w:r>
              <w:t xml:space="preserve">Contact Person</w:t>
            </w:r>
          </w:p>
        </w:tc>
        <w:tc>
          <w:tcPr/>
          <w:p>
            <w:pPr>
              <w:pStyle w:val="Compact"/>
              <w:jc w:val="left"/>
            </w:pPr>
            <w:r>
              <w:t xml:space="preserve">M. Philippe Moreau, Senior Banker &amp; Account Executive</w:t>
            </w:r>
          </w:p>
        </w:tc>
      </w:tr>
      <w:tr>
        <w:tc>
          <w:tcPr/>
          <w:p>
            <w:pPr>
              <w:pStyle w:val="Compact"/>
              <w:jc w:val="left"/>
            </w:pPr>
            <w:r>
              <w:t xml:space="preserve">Email</w:t>
            </w:r>
          </w:p>
        </w:tc>
        <w:tc>
          <w:tcPr/>
          <w:p>
            <w:pPr>
              <w:pStyle w:val="Compact"/>
              <w:jc w:val="left"/>
            </w:pPr>
            <w:r>
              <w:t xml:space="preserve">p.moreau@credit-lyonnais-bp.fr</w:t>
            </w:r>
          </w:p>
        </w:tc>
      </w:tr>
      <w:tr>
        <w:tc>
          <w:tcPr/>
          <w:p>
            <w:pPr>
              <w:pStyle w:val="Compact"/>
              <w:jc w:val="left"/>
            </w:pPr>
            <w:r>
              <w:t xml:space="preserve">Telephone</w:t>
            </w:r>
          </w:p>
        </w:tc>
        <w:tc>
          <w:tcPr/>
          <w:p>
            <w:pPr>
              <w:pStyle w:val="Compact"/>
              <w:jc w:val="left"/>
            </w:pPr>
            <w:r>
              <w:t xml:space="preserve">+33 1 44 58 22 10</w:t>
            </w:r>
          </w:p>
        </w:tc>
      </w:tr>
    </w:tbl>
    <w:bookmarkEnd w:id="21"/>
    <w:bookmarkStart w:id="22" w:name="X3d048008deb77088580e9d4d46e79aedf871fa3"/>
    <w:p>
      <w:pPr>
        <w:pStyle w:val="Heading2"/>
      </w:pPr>
      <w:r>
        <w:t xml:space="preserve">3. Description of Goods and Services – Banker Services</w:t>
      </w:r>
    </w:p>
    <w:p>
      <w:pPr>
        <w:pStyle w:val="FirstParagraph"/>
      </w:pPr>
      <w:r>
        <w:t xml:space="preserve">This Purchase Order is issued by Société Générale de Commerce et Industrie SAS (hereinafter referred to as the "Buyer") to Crédit Lyonnais Banque Privée SA (hereinafter referred to as the "Seller") for the procurement of comprehensive</w:t>
      </w:r>
      <w:r>
        <w:t xml:space="preserve"> </w:t>
      </w:r>
      <w:r>
        <w:rPr>
          <w:bCs/>
          <w:b/>
        </w:rPr>
        <w:t xml:space="preserve">Banker</w:t>
      </w:r>
      <w:r>
        <w:t xml:space="preserve"> </w:t>
      </w:r>
      <w:r>
        <w:t xml:space="preserve">services. The Seller shall provide a dedicated</w:t>
      </w:r>
      <w:r>
        <w:t xml:space="preserve"> </w:t>
      </w:r>
      <w:r>
        <w:rPr>
          <w:bCs/>
          <w:b/>
        </w:rPr>
        <w:t xml:space="preserve">Banker</w:t>
      </w:r>
      <w:r>
        <w:t xml:space="preserve"> </w:t>
      </w:r>
      <w:r>
        <w:t xml:space="preserve">professional, along with a supporting team of financial advisors, to manage the Buyer's corporate treasury operations, investment portfolio, and international trade finance requirements. All services shall be rendered in accordance with the regulatory framework of the Banque de France and the Autorité des Marchés Financiers (AMF), with the primary operational base located in</w:t>
      </w:r>
      <w:r>
        <w:t xml:space="preserve"> </w:t>
      </w:r>
      <w:r>
        <w:rPr>
          <w:bCs/>
          <w:b/>
        </w:rPr>
        <w:t xml:space="preserve">France Paris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Dedicated Corporate Banker – Full-time assignment for treasury management, liquidity planning, and cash flow optimization in France Paris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Senior Banker Advisory – Quarterly strategic financial reviews and portfolio rebalancing sessions conducted at the Buyer's offices in France Paris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Trade Finance Banker Services – Letter of credit issuance, documentary collections, and export credit facilities for international operations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Banker-Managed Investment Portfolio – Active management of a €50,000,000 corporate investment portfolio including fixed income, equities, and structured products</w:t>
            </w:r>
          </w:p>
        </w:tc>
        <w:tc>
          <w:tcPr/>
          <w:p>
            <w:pPr>
              <w:pStyle w:val="Compact"/>
              <w:jc w:val="left"/>
            </w:pPr>
            <w:r>
              <w:t xml:space="preserve">1</w:t>
            </w:r>
          </w:p>
        </w:tc>
        <w:tc>
          <w:tcPr/>
          <w:p>
            <w:pPr>
              <w:pStyle w:val="Compact"/>
              <w:jc w:val="left"/>
            </w:pPr>
            <w:r>
              <w:t xml:space="preserve">Annual Mandate</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05</w:t>
            </w:r>
          </w:p>
        </w:tc>
        <w:tc>
          <w:tcPr/>
          <w:p>
            <w:pPr>
              <w:pStyle w:val="Compact"/>
              <w:jc w:val="left"/>
            </w:pPr>
            <w:r>
              <w:t xml:space="preserve">Emergency Banker Hotline &amp; On-Call Service – 24/7 access to a designated Banker for urgent liquidity needs, FX hedging, and crisis management</w:t>
            </w:r>
          </w:p>
        </w:tc>
        <w:tc>
          <w:tcPr/>
          <w:p>
            <w:pPr>
              <w:pStyle w:val="Compact"/>
              <w:jc w:val="left"/>
            </w:pPr>
            <w:r>
              <w:t xml:space="preserve">1</w:t>
            </w:r>
          </w:p>
        </w:tc>
        <w:tc>
          <w:tcPr/>
          <w:p>
            <w:pPr>
              <w:pStyle w:val="Compact"/>
              <w:jc w:val="left"/>
            </w:pPr>
            <w:r>
              <w:t xml:space="preserve">Annual Subscription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Regulatory Compliance &amp; Reporting – Monthly regulatory reporting to the Banque de France, AML/KYC compliance, and anti-money laundering audits conducted by the assigned Banker team</w:t>
            </w:r>
          </w:p>
        </w:tc>
        <w:tc>
          <w:tcPr/>
          <w:p>
            <w:pPr>
              <w:pStyle w:val="Compact"/>
              <w:jc w:val="left"/>
            </w:pPr>
            <w:r>
              <w:t xml:space="preserve">12</w:t>
            </w:r>
          </w:p>
        </w:tc>
        <w:tc>
          <w:tcPr/>
          <w:p>
            <w:pPr>
              <w:pStyle w:val="Compact"/>
              <w:jc w:val="left"/>
            </w:pPr>
            <w:r>
              <w:t xml:space="preserve">Monthly Reports</w:t>
            </w:r>
          </w:p>
        </w:tc>
        <w:tc>
          <w:tcPr/>
          <w:p>
            <w:pPr>
              <w:pStyle w:val="Compact"/>
              <w:jc w:val="left"/>
            </w:pPr>
            <w:r>
              <w:t xml:space="preserve">4,800.00</w:t>
            </w:r>
          </w:p>
        </w:tc>
        <w:tc>
          <w:tcPr/>
          <w:p>
            <w:pPr>
              <w:pStyle w:val="Compact"/>
              <w:jc w:val="left"/>
            </w:pPr>
            <w:r>
              <w:t xml:space="preserve">57,600.00</w:t>
            </w:r>
          </w:p>
        </w:tc>
      </w:tr>
      <w:tr>
        <w:tc>
          <w:tcPr>
            <w:gridSpan w:val="5"/>
          </w:tcPr>
          <w:p>
            <w:pPr>
              <w:pStyle w:val="Compact"/>
              <w:jc w:val="right"/>
            </w:pPr>
            <w:r>
              <w:t xml:space="preserve">SUBTOTAL</w:t>
            </w:r>
          </w:p>
        </w:tc>
        <w:tc>
          <w:tcPr/>
          <w:p>
            <w:pPr>
              <w:pStyle w:val="Compact"/>
              <w:jc w:val="left"/>
            </w:pPr>
            <w:r>
              <w:t xml:space="preserve">642,600.00</w:t>
            </w:r>
          </w:p>
        </w:tc>
      </w:tr>
      <w:tr>
        <w:tc>
          <w:tcPr>
            <w:gridSpan w:val="5"/>
          </w:tcPr>
          <w:p>
            <w:pPr>
              <w:pStyle w:val="Compact"/>
              <w:jc w:val="right"/>
            </w:pPr>
            <w:r>
              <w:t xml:space="preserve">VAT (TVA) – 20% (France Paris jurisdiction)</w:t>
            </w:r>
          </w:p>
        </w:tc>
        <w:tc>
          <w:tcPr/>
          <w:p>
            <w:pPr>
              <w:pStyle w:val="Compact"/>
              <w:jc w:val="left"/>
            </w:pPr>
            <w:r>
              <w:t xml:space="preserve">128,520.00</w:t>
            </w:r>
          </w:p>
        </w:tc>
      </w:tr>
      <w:tr>
        <w:tc>
          <w:tcPr>
            <w:gridSpan w:val="5"/>
          </w:tcPr>
          <w:p>
            <w:pPr>
              <w:pStyle w:val="Compact"/>
              <w:jc w:val="right"/>
            </w:pPr>
            <w:r>
              <w:t xml:space="preserve">GRAND TOTAL (EUR)</w:t>
            </w:r>
          </w:p>
        </w:tc>
        <w:tc>
          <w:tcPr/>
          <w:p>
            <w:pPr>
              <w:pStyle w:val="Compact"/>
              <w:jc w:val="left"/>
            </w:pPr>
            <w:r>
              <w:t xml:space="preserve">771,120.00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with the courts of France Paris (Tribunal de Commerce de Paris) having exclusive jurisdiction over any disputes arising from this Purchase Order.</w:t>
      </w:r>
    </w:p>
    <w:p>
      <w:pPr>
        <w:numPr>
          <w:ilvl w:val="0"/>
          <w:numId w:val="1001"/>
        </w:numPr>
        <w:pStyle w:val="Compact"/>
      </w:pPr>
      <w:r>
        <w:rPr>
          <w:bCs/>
          <w:b/>
        </w:rPr>
        <w:t xml:space="preserve">Commencement of Banker Services:</w:t>
      </w:r>
      <w:r>
        <w:t xml:space="preserve"> </w:t>
      </w:r>
      <w:r>
        <w:t xml:space="preserve">The Seller's designated Banker shall commence all services no later than 1 July 2025. The initial service period shall run from 1 July 2025 through 30 June 2026, subject to renewal by mutual written agreement.</w:t>
      </w:r>
    </w:p>
    <w:p>
      <w:pPr>
        <w:numPr>
          <w:ilvl w:val="0"/>
          <w:numId w:val="1001"/>
        </w:numPr>
        <w:pStyle w:val="Compact"/>
      </w:pPr>
      <w:r>
        <w:rPr>
          <w:bCs/>
          <w:b/>
        </w:rPr>
        <w:t xml:space="preserve">Payment Schedule:</w:t>
      </w:r>
      <w:r>
        <w:t xml:space="preserve"> </w:t>
      </w:r>
      <w:r>
        <w:t xml:space="preserve">The total amount of €771,120.00 shall be invoiced in four equal quarterly installments of €192,780.00. Payment shall be made via SEPA bank transfer to the Seller's account within thirty (30) calendar days of the invoice date. Late payments shall accrue interest at the rate of 1.5% per month as stipulated under French commercial law (Code de commerce, Article L441-6).</w:t>
      </w:r>
    </w:p>
    <w:p>
      <w:pPr>
        <w:numPr>
          <w:ilvl w:val="0"/>
          <w:numId w:val="1001"/>
        </w:numPr>
        <w:pStyle w:val="Compact"/>
      </w:pPr>
      <w:r>
        <w:rPr>
          <w:bCs/>
          <w:b/>
        </w:rPr>
        <w:t xml:space="preserve">Banker Professional Standards:</w:t>
      </w:r>
      <w:r>
        <w:t xml:space="preserve"> </w:t>
      </w:r>
      <w:r>
        <w:t xml:space="preserve">The Seller warrants that the assigned Banker and all supporting personnel shall hold valid professional certifications issued by the AMF, shall maintain professional indemnity insurance of no less than €5,000,000, and shall comply with all applicable French and European Union banking regulations, including MiFID II and the GDPR as applicable in France Paris.</w:t>
      </w:r>
    </w:p>
    <w:p>
      <w:pPr>
        <w:numPr>
          <w:ilvl w:val="0"/>
          <w:numId w:val="1001"/>
        </w:numPr>
        <w:pStyle w:val="Compact"/>
      </w:pPr>
      <w:r>
        <w:rPr>
          <w:bCs/>
          <w:b/>
        </w:rPr>
        <w:t xml:space="preserve">Confidentiality and Data Protection:</w:t>
      </w:r>
      <w:r>
        <w:t xml:space="preserve"> </w:t>
      </w:r>
      <w:r>
        <w:t xml:space="preserve">All financial data, client information, and transaction records handled by the Banker shall be treated as strictly confidential. The Seller shall comply with the French Data Protection Act (Loi Informatique et Libertés) and the EU General Data Protection Regulation (GDPR). Data processing shall occur exclusively within the territory of France, with primary data centers located in France Paris.</w:t>
      </w:r>
    </w:p>
    <w:p>
      <w:pPr>
        <w:numPr>
          <w:ilvl w:val="0"/>
          <w:numId w:val="1001"/>
        </w:numPr>
        <w:pStyle w:val="Compact"/>
      </w:pPr>
      <w:r>
        <w:rPr>
          <w:bCs/>
          <w:b/>
        </w:rPr>
        <w:t xml:space="preserve">Service Level Agreement (SLA):</w:t>
      </w:r>
      <w:r>
        <w:t xml:space="preserve"> </w:t>
      </w:r>
      <w:r>
        <w:t xml:space="preserve">The Banker shall respond to all routine inquiries within four (4) business hours and to urgent liquidity or FX requests within one (1) business hour. Failure to meet these response times for three (3) consecutive occasions in a calendar quarter shall entitle the Buyer to a service credit of 2% of the quarterly fee.</w:t>
      </w:r>
    </w:p>
    <w:p>
      <w:pPr>
        <w:numPr>
          <w:ilvl w:val="0"/>
          <w:numId w:val="1001"/>
        </w:numPr>
        <w:pStyle w:val="Compact"/>
      </w:pPr>
      <w:r>
        <w:rPr>
          <w:bCs/>
          <w:b/>
        </w:rPr>
        <w:t xml:space="preserve">Termination:</w:t>
      </w:r>
      <w:r>
        <w:t xml:space="preserve"> </w:t>
      </w:r>
      <w:r>
        <w:t xml:space="preserve">Either party may terminate this Purchase Order with a written notice of ninety (90) days. In the event of material breach by the Seller, the Buyer may terminate immediately upon written notice. Upon termination, the Banker shall deliver a full transition report and all client records within fifteen (15)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war, terrorism, or regulatory changes enacted by the Banque de France or the European Central Bank.</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good-faith negotiation between the parties. If unresolved within thirty (30) days, the dispute shall be submitted to the Tribunal de Commerce de Paris, France Paris, for binding arbitration in accordance with the French Code of Civil Procedure.</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provision of Banker services in France Paris. This document constitutes a binding commercial agreement under French law upon execution by both authorized signatories.</w:t>
      </w:r>
    </w:p>
    <w:p>
      <w:pPr>
        <w:pStyle w:val="BodyText"/>
      </w:pPr>
      <w:r>
        <w:rPr>
          <w:bCs/>
          <w:b/>
        </w:rPr>
        <w:t xml:space="preserve">For the Buyer:</w:t>
      </w:r>
    </w:p>
    <w:p>
      <w:pPr>
        <w:pStyle w:val="BodyText"/>
      </w:pPr>
      <w:r>
        <w:t xml:space="preserve">Société Générale de Commerce et Industrie SAS</w:t>
      </w:r>
    </w:p>
    <w:p>
      <w:pPr>
        <w:pStyle w:val="BodyText"/>
      </w:pPr>
      <w:r>
        <w:br/>
      </w:r>
      <w:r>
        <w:br/>
      </w:r>
    </w:p>
    <w:p>
      <w:pPr>
        <w:pStyle w:val="BodyText"/>
      </w:pPr>
      <w:r>
        <w:t xml:space="preserve">Signature: ___________________________</w:t>
      </w:r>
    </w:p>
    <w:p>
      <w:pPr>
        <w:pStyle w:val="BodyText"/>
      </w:pPr>
      <w:r>
        <w:t xml:space="preserve">Name: Mme. Claire Dubois</w:t>
      </w:r>
    </w:p>
    <w:p>
      <w:pPr>
        <w:pStyle w:val="BodyText"/>
      </w:pPr>
      <w:r>
        <w:t xml:space="preserve">Title: Director of Procurement</w:t>
      </w:r>
    </w:p>
    <w:p>
      <w:pPr>
        <w:pStyle w:val="BodyText"/>
      </w:pPr>
      <w:r>
        <w:t xml:space="preserve">Date: ___________________________</w:t>
      </w:r>
    </w:p>
    <w:p>
      <w:pPr>
        <w:pStyle w:val="BodyText"/>
      </w:pPr>
      <w:r>
        <w:t xml:space="preserve">Company Seal:</w:t>
      </w:r>
    </w:p>
    <w:p>
      <w:pPr>
        <w:pStyle w:val="BodyText"/>
      </w:pPr>
      <w:r>
        <w:rPr>
          <w:bCs/>
          <w:b/>
        </w:rPr>
        <w:t xml:space="preserve">For the Seller:</w:t>
      </w:r>
    </w:p>
    <w:p>
      <w:pPr>
        <w:pStyle w:val="BodyText"/>
      </w:pPr>
      <w:r>
        <w:t xml:space="preserve">Crédit Lyonnais Banque Privée SA</w:t>
      </w:r>
    </w:p>
    <w:p>
      <w:pPr>
        <w:pStyle w:val="BodyText"/>
      </w:pPr>
      <w:r>
        <w:br/>
      </w:r>
      <w:r>
        <w:br/>
      </w:r>
    </w:p>
    <w:p>
      <w:pPr>
        <w:pStyle w:val="BodyText"/>
      </w:pPr>
      <w:r>
        <w:t xml:space="preserve">Signature: ___________________________</w:t>
      </w:r>
    </w:p>
    <w:p>
      <w:pPr>
        <w:pStyle w:val="BodyText"/>
      </w:pPr>
      <w:r>
        <w:t xml:space="preserve">Name: M. Philippe Moreau</w:t>
      </w:r>
    </w:p>
    <w:p>
      <w:pPr>
        <w:pStyle w:val="BodyText"/>
      </w:pPr>
      <w:r>
        <w:t xml:space="preserve">Title: Senior Banker &amp; Account Executive</w:t>
      </w:r>
    </w:p>
    <w:p>
      <w:pPr>
        <w:pStyle w:val="BodyText"/>
      </w:pPr>
      <w:r>
        <w:t xml:space="preserve">Date: ___________________________</w:t>
      </w:r>
    </w:p>
    <w:p>
      <w:pPr>
        <w:pStyle w:val="BodyText"/>
      </w:pPr>
      <w:r>
        <w:t xml:space="preserve">Company Seal:</w:t>
      </w:r>
    </w:p>
    <w:p>
      <w:pPr>
        <w:pStyle w:val="BodyText"/>
      </w:pPr>
      <w:r>
        <w:rPr>
          <w:bCs/>
          <w:b/>
        </w:rPr>
        <w:t xml:space="preserve">Purchase Order PO-FR-2025-0847-BNK</w:t>
      </w:r>
      <w:r>
        <w:t xml:space="preserve"> </w:t>
      </w:r>
      <w:r>
        <w:t xml:space="preserve">| Issued in France Paris | This document is valid only when signed and sealed by both parties. | Page 1 of 1</w:t>
      </w:r>
    </w:p>
    <w:p>
      <w:pPr>
        <w:pStyle w:val="BodyText"/>
      </w:pPr>
      <w:r>
        <w:t xml:space="preserve">© 2025 Société Générale de Commerce et Industrie SAS – All rights reserved. This Purchase Order is subject to the commercial laws of the French Republic and the regulatory oversight of the Banque de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France Paris</dc:title>
  <dc:creator/>
  <dc:language>en</dc:language>
  <cp:keywords/>
  <dcterms:created xsi:type="dcterms:W3CDTF">2026-10-10T01:57:48Z</dcterms:created>
  <dcterms:modified xsi:type="dcterms:W3CDTF">2026-10-10T01:57:48Z</dcterms:modified>
</cp:coreProperties>
</file>

<file path=docProps/custom.xml><?xml version="1.0" encoding="utf-8"?>
<Properties xmlns="http://schemas.openxmlformats.org/officeDocument/2006/custom-properties" xmlns:vt="http://schemas.openxmlformats.org/officeDocument/2006/docPropsVTypes"/>
</file>