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Berlin,</w:t>
      </w:r>
      <w:r>
        <w:t xml:space="preserve"> </w:t>
      </w:r>
      <w:r>
        <w:t xml:space="preserve">Germany</w:t>
      </w:r>
    </w:p>
    <w:bookmarkStart w:id="20" w:name="purchase-order"/>
    <w:p>
      <w:pPr>
        <w:pStyle w:val="Heading1"/>
      </w:pPr>
      <w:r>
        <w:t xml:space="preserve">PURCHASE ORDER</w:t>
      </w:r>
    </w:p>
    <w:p>
      <w:pPr>
        <w:pStyle w:val="FirstParagraph"/>
      </w:pPr>
      <w:r>
        <w:t xml:space="preserve">Banking &amp; Financial Advisory Services — Berlin, Germany</w:t>
      </w:r>
    </w:p>
    <w:bookmarkEnd w:id="20"/>
    <w:p>
      <w:pPr>
        <w:pStyle w:val="BodyText"/>
      </w:pPr>
      <w:r>
        <w:rPr>
          <w:bCs/>
          <w:b/>
        </w:rPr>
        <w:t xml:space="preserve">Purchase Order No.:</w:t>
      </w:r>
      <w:r>
        <w:t xml:space="preserve"> </w:t>
      </w:r>
      <w:r>
        <w:t xml:space="preserve">PO-BER-2025-04782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Governing Law:</w:t>
      </w:r>
      <w:r>
        <w:t xml:space="preserve"> </w:t>
      </w:r>
      <w:r>
        <w:t xml:space="preserve">Federal Republic of Germany</w:t>
      </w:r>
    </w:p>
    <w:bookmarkStart w:id="21" w:name="purchasing-entity-buyer"/>
    <w:p>
      <w:pPr>
        <w:pStyle w:val="Heading2"/>
      </w:pPr>
      <w:r>
        <w:t xml:space="preserve">1. Purchasing Entity (Buyer)</w:t>
      </w:r>
    </w:p>
    <w:p>
      <w:pPr>
        <w:pStyle w:val="FirstParagraph"/>
      </w:pPr>
      <w:r>
        <w:rPr>
          <w:bCs/>
          <w:b/>
        </w:rPr>
        <w:t xml:space="preserve">Meridian Capital Holdings GmbH</w:t>
      </w:r>
      <w:r>
        <w:br/>
      </w:r>
      <w:r>
        <w:t xml:space="preserve">Friedrichstraße 183</w:t>
      </w:r>
      <w:r>
        <w:br/>
      </w:r>
      <w:r>
        <w:t xml:space="preserve">10117 Berlin, Germany</w:t>
      </w:r>
      <w:r>
        <w:br/>
      </w:r>
      <w:r>
        <w:t xml:space="preserve">USt-IdNr.: DE 312 456 789</w:t>
      </w:r>
      <w:r>
        <w:br/>
      </w:r>
      <w:r>
        <w:t xml:space="preserve">HRB 145 892, Amtsgericht Charlottenburg</w:t>
      </w:r>
      <w:r>
        <w:br/>
      </w:r>
      <w:r>
        <w:t xml:space="preserve">Contact: Dr. Katharina Vogel, Chief Financial Officer</w:t>
      </w:r>
      <w:r>
        <w:br/>
      </w:r>
      <w:r>
        <w:t xml:space="preserve">Email: k.vogel@meridian-capital.de | Tel: +49 30 555 0182</w:t>
      </w:r>
    </w:p>
    <w:bookmarkEnd w:id="21"/>
    <w:bookmarkStart w:id="22" w:name="supplier-service-provider-seller"/>
    <w:p>
      <w:pPr>
        <w:pStyle w:val="Heading2"/>
      </w:pPr>
      <w:r>
        <w:t xml:space="preserve">2. Supplier / Service Provider (Seller)</w:t>
      </w:r>
    </w:p>
    <w:p>
      <w:pPr>
        <w:pStyle w:val="FirstParagraph"/>
      </w:pPr>
      <w:r>
        <w:rPr>
          <w:bCs/>
          <w:b/>
        </w:rPr>
        <w:t xml:space="preserve">Dr. Heinrich Brandt &amp; Associates — Banker &amp; Financial Consultant</w:t>
      </w:r>
      <w:r>
        <w:br/>
      </w:r>
      <w:r>
        <w:t xml:space="preserve">Unter den Linden 42</w:t>
      </w:r>
      <w:r>
        <w:br/>
      </w:r>
      <w:r>
        <w:t xml:space="preserve">10117 Berlin, Germany</w:t>
      </w:r>
      <w:r>
        <w:br/>
      </w:r>
      <w:r>
        <w:t xml:space="preserve">USt-IdNr.: DE 298 741 056</w:t>
      </w:r>
      <w:r>
        <w:br/>
      </w:r>
      <w:r>
        <w:t xml:space="preserve">Registered with the Bundesbank, Frankfurt am Main</w:t>
      </w:r>
      <w:r>
        <w:br/>
      </w:r>
      <w:r>
        <w:t xml:space="preserve">License No.: BB-2019-004471</w:t>
      </w:r>
      <w:r>
        <w:br/>
      </w:r>
      <w:r>
        <w:t xml:space="preserve">Contact: Dr. Heinrich Brandt, Senior Banker &amp; Principal</w:t>
      </w:r>
      <w:r>
        <w:br/>
      </w:r>
      <w:r>
        <w:t xml:space="preserve">Email: h.brandt@brandt-banker.de | Tel: +49 30 555 0947</w:t>
      </w:r>
    </w:p>
    <w:bookmarkEnd w:id="22"/>
    <w:bookmarkStart w:id="23" w:name="description-of-goods-and-services"/>
    <w:p>
      <w:pPr>
        <w:pStyle w:val="Heading2"/>
      </w:pPr>
      <w:r>
        <w:t xml:space="preserve">3. Description of Goods and Services</w:t>
      </w:r>
    </w:p>
    <w:p>
      <w:pPr>
        <w:pStyle w:val="FirstParagraph"/>
      </w:pPr>
      <w:r>
        <w:t xml:space="preserve">This Purchase Order is issued by Meridian Capital Holdings GmbH for the engagement of professional</w:t>
      </w:r>
      <w:r>
        <w:t xml:space="preserve"> </w:t>
      </w:r>
      <w:r>
        <w:t xml:space="preserve">Banker</w:t>
      </w:r>
      <w:r>
        <w:t xml:space="preserve"> </w:t>
      </w:r>
      <w:r>
        <w:t xml:space="preserve">services and related financial advisory work to be performed in</w:t>
      </w:r>
      <w:r>
        <w:t xml:space="preserve"> </w:t>
      </w:r>
      <w:r>
        <w:t xml:space="preserve">Berlin, Germany</w:t>
      </w:r>
      <w:r>
        <w:t xml:space="preserve">. The services described below are to be rendered by the named</w:t>
      </w:r>
      <w:r>
        <w:t xml:space="preserve"> </w:t>
      </w:r>
      <w:r>
        <w:t xml:space="preserve">Banker</w:t>
      </w:r>
      <w:r>
        <w:t xml:space="preserve"> </w:t>
      </w:r>
      <w:r>
        <w:t xml:space="preserve">and his qualified team in accordance with the regulatory framework of the German Federal Financial Supervisory Authority (BaFin) and the applicable provisions of the German Commercial Code (Handelsgesetzbuch, HGB).</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Senior Banker advisory engagement for corporate treasury restructuring in Berlin, Germany (on-site, 40 hours)</w:t>
            </w:r>
          </w:p>
        </w:tc>
        <w:tc>
          <w:tcPr/>
          <w:p>
            <w:pPr>
              <w:pStyle w:val="Compact"/>
              <w:jc w:val="left"/>
            </w:pPr>
            <w:r>
              <w:t xml:space="preserve">40 hrs</w:t>
            </w:r>
          </w:p>
        </w:tc>
        <w:tc>
          <w:tcPr/>
          <w:p>
            <w:pPr>
              <w:pStyle w:val="Compact"/>
              <w:jc w:val="left"/>
            </w:pPr>
            <w:r>
              <w:t xml:space="preserve">€ 285.00</w:t>
            </w:r>
          </w:p>
        </w:tc>
        <w:tc>
          <w:tcPr/>
          <w:p>
            <w:pPr>
              <w:pStyle w:val="Compact"/>
              <w:jc w:val="left"/>
            </w:pPr>
            <w:r>
              <w:t xml:space="preserve">€ 11,400.00</w:t>
            </w:r>
          </w:p>
        </w:tc>
      </w:tr>
      <w:tr>
        <w:tc>
          <w:tcPr/>
          <w:p>
            <w:pPr>
              <w:pStyle w:val="Compact"/>
              <w:jc w:val="left"/>
            </w:pPr>
            <w:r>
              <w:t xml:space="preserve">2</w:t>
            </w:r>
          </w:p>
        </w:tc>
        <w:tc>
          <w:tcPr/>
          <w:p>
            <w:pPr>
              <w:pStyle w:val="Compact"/>
              <w:jc w:val="left"/>
            </w:pPr>
            <w:r>
              <w:t xml:space="preserve">Banker-led due diligence review of three commercial banking relationships with institutions headquartered in Berlin, Germany</w:t>
            </w:r>
          </w:p>
        </w:tc>
        <w:tc>
          <w:tcPr/>
          <w:p>
            <w:pPr>
              <w:pStyle w:val="Compact"/>
              <w:jc w:val="left"/>
            </w:pPr>
            <w:r>
              <w:t xml:space="preserve">1 lot</w:t>
            </w:r>
          </w:p>
        </w:tc>
        <w:tc>
          <w:tcPr/>
          <w:p>
            <w:pPr>
              <w:pStyle w:val="Compact"/>
              <w:jc w:val="left"/>
            </w:pPr>
            <w:r>
              <w:t xml:space="preserve">€ 8,750.00</w:t>
            </w:r>
          </w:p>
        </w:tc>
        <w:tc>
          <w:tcPr/>
          <w:p>
            <w:pPr>
              <w:pStyle w:val="Compact"/>
              <w:jc w:val="left"/>
            </w:pPr>
            <w:r>
              <w:t xml:space="preserve">€ 8,750.00</w:t>
            </w:r>
          </w:p>
        </w:tc>
      </w:tr>
      <w:tr>
        <w:tc>
          <w:tcPr/>
          <w:p>
            <w:pPr>
              <w:pStyle w:val="Compact"/>
              <w:jc w:val="left"/>
            </w:pPr>
            <w:r>
              <w:t xml:space="preserve">3</w:t>
            </w:r>
          </w:p>
        </w:tc>
        <w:tc>
          <w:tcPr/>
          <w:p>
            <w:pPr>
              <w:pStyle w:val="Compact"/>
              <w:jc w:val="left"/>
            </w:pPr>
            <w:r>
              <w:t xml:space="preserve">Preparation of a comprehensive credit facility negotiation strategy by the assigned Banker for syndicated loan arrangements</w:t>
            </w:r>
          </w:p>
        </w:tc>
        <w:tc>
          <w:tcPr/>
          <w:p>
            <w:pPr>
              <w:pStyle w:val="Compact"/>
              <w:jc w:val="left"/>
            </w:pPr>
            <w:r>
              <w:t xml:space="preserve">1 lot</w:t>
            </w:r>
          </w:p>
        </w:tc>
        <w:tc>
          <w:tcPr/>
          <w:p>
            <w:pPr>
              <w:pStyle w:val="Compact"/>
              <w:jc w:val="left"/>
            </w:pPr>
            <w:r>
              <w:t xml:space="preserve">€ 12,300.00</w:t>
            </w:r>
          </w:p>
        </w:tc>
        <w:tc>
          <w:tcPr/>
          <w:p>
            <w:pPr>
              <w:pStyle w:val="Compact"/>
              <w:jc w:val="left"/>
            </w:pPr>
            <w:r>
              <w:t xml:space="preserve">€ 12,300.00</w:t>
            </w:r>
          </w:p>
        </w:tc>
      </w:tr>
      <w:tr>
        <w:tc>
          <w:tcPr/>
          <w:p>
            <w:pPr>
              <w:pStyle w:val="Compact"/>
              <w:jc w:val="left"/>
            </w:pPr>
            <w:r>
              <w:t xml:space="preserve">4</w:t>
            </w:r>
          </w:p>
        </w:tc>
        <w:tc>
          <w:tcPr/>
          <w:p>
            <w:pPr>
              <w:pStyle w:val="Compact"/>
              <w:jc w:val="left"/>
            </w:pPr>
            <w:r>
              <w:t xml:space="preserve">Regulatory compliance audit aligned with BaFin directives, conducted by the Banker's team at the Berlin, Germany office</w:t>
            </w:r>
          </w:p>
        </w:tc>
        <w:tc>
          <w:tcPr/>
          <w:p>
            <w:pPr>
              <w:pStyle w:val="Compact"/>
              <w:jc w:val="left"/>
            </w:pPr>
            <w:r>
              <w:t xml:space="preserve">1 lot</w:t>
            </w:r>
          </w:p>
        </w:tc>
        <w:tc>
          <w:tcPr/>
          <w:p>
            <w:pPr>
              <w:pStyle w:val="Compact"/>
              <w:jc w:val="left"/>
            </w:pPr>
            <w:r>
              <w:t xml:space="preserve">€ 6,900.00</w:t>
            </w:r>
          </w:p>
        </w:tc>
        <w:tc>
          <w:tcPr/>
          <w:p>
            <w:pPr>
              <w:pStyle w:val="Compact"/>
              <w:jc w:val="left"/>
            </w:pPr>
            <w:r>
              <w:t xml:space="preserve">€ 6,900.00</w:t>
            </w:r>
          </w:p>
        </w:tc>
      </w:tr>
      <w:tr>
        <w:tc>
          <w:tcPr/>
          <w:p>
            <w:pPr>
              <w:pStyle w:val="Compact"/>
              <w:jc w:val="left"/>
            </w:pPr>
            <w:r>
              <w:t xml:space="preserve">5</w:t>
            </w:r>
          </w:p>
        </w:tc>
        <w:tc>
          <w:tcPr/>
          <w:p>
            <w:pPr>
              <w:pStyle w:val="Compact"/>
              <w:jc w:val="left"/>
            </w:pPr>
            <w:r>
              <w:t xml:space="preserve">Monthly Banker reporting and portfolio performance review (12-month retainer, Berlin, Germany)</w:t>
            </w:r>
          </w:p>
        </w:tc>
        <w:tc>
          <w:tcPr/>
          <w:p>
            <w:pPr>
              <w:pStyle w:val="Compact"/>
              <w:jc w:val="left"/>
            </w:pPr>
            <w:r>
              <w:t xml:space="preserve">12 months</w:t>
            </w:r>
          </w:p>
        </w:tc>
        <w:tc>
          <w:tcPr/>
          <w:p>
            <w:pPr>
              <w:pStyle w:val="Compact"/>
              <w:jc w:val="left"/>
            </w:pPr>
            <w:r>
              <w:t xml:space="preserve">€ 3,200.00</w:t>
            </w:r>
          </w:p>
        </w:tc>
        <w:tc>
          <w:tcPr/>
          <w:p>
            <w:pPr>
              <w:pStyle w:val="Compact"/>
              <w:jc w:val="left"/>
            </w:pPr>
            <w:r>
              <w:t xml:space="preserve">€ 38,400.00</w:t>
            </w:r>
          </w:p>
        </w:tc>
      </w:tr>
      <w:tr>
        <w:tc>
          <w:tcPr/>
          <w:p>
            <w:pPr>
              <w:pStyle w:val="Compact"/>
              <w:jc w:val="left"/>
            </w:pPr>
            <w:r>
              <w:t xml:space="preserve">6</w:t>
            </w:r>
          </w:p>
        </w:tc>
        <w:tc>
          <w:tcPr/>
          <w:p>
            <w:pPr>
              <w:pStyle w:val="Compact"/>
              <w:jc w:val="left"/>
            </w:pPr>
            <w:r>
              <w:t xml:space="preserve">Travel and accommodation expenses for the Banker and two associates during on-site engagements in Berlin, Germany</w:t>
            </w:r>
          </w:p>
        </w:tc>
        <w:tc>
          <w:tcPr/>
          <w:p>
            <w:pPr>
              <w:pStyle w:val="Compact"/>
              <w:jc w:val="left"/>
            </w:pPr>
            <w:r>
              <w:t xml:space="preserve">Estimate</w:t>
            </w:r>
          </w:p>
        </w:tc>
        <w:tc>
          <w:tcPr/>
          <w:p>
            <w:pPr>
              <w:pStyle w:val="Compact"/>
              <w:jc w:val="left"/>
            </w:pPr>
            <w:r>
              <w:t xml:space="preserve">€ 1,500.00</w:t>
            </w:r>
          </w:p>
        </w:tc>
        <w:tc>
          <w:tcPr/>
          <w:p>
            <w:pPr>
              <w:pStyle w:val="Compact"/>
              <w:jc w:val="left"/>
            </w:pPr>
            <w:r>
              <w:t xml:space="preserve">€ 1,500.00</w:t>
            </w:r>
          </w:p>
        </w:tc>
      </w:tr>
      <w:tr>
        <w:tc>
          <w:tcPr>
            <w:gridSpan w:val="4"/>
          </w:tcPr>
          <w:p>
            <w:pPr>
              <w:pStyle w:val="Compact"/>
              <w:jc w:val="right"/>
            </w:pPr>
            <w:r>
              <w:t xml:space="preserve">Subtotal (excl. VAT):</w:t>
            </w:r>
          </w:p>
        </w:tc>
        <w:tc>
          <w:tcPr/>
          <w:p>
            <w:pPr>
              <w:pStyle w:val="Compact"/>
              <w:jc w:val="left"/>
            </w:pPr>
            <w:r>
              <w:t xml:space="preserve">€ 79,250.00</w:t>
            </w:r>
          </w:p>
        </w:tc>
      </w:tr>
      <w:tr>
        <w:tc>
          <w:tcPr>
            <w:gridSpan w:val="4"/>
          </w:tcPr>
          <w:p>
            <w:pPr>
              <w:pStyle w:val="Compact"/>
              <w:jc w:val="right"/>
            </w:pPr>
            <w:r>
              <w:t xml:space="preserve">VAT (19% USt, Germany):</w:t>
            </w:r>
          </w:p>
        </w:tc>
        <w:tc>
          <w:tcPr/>
          <w:p>
            <w:pPr>
              <w:pStyle w:val="Compact"/>
              <w:jc w:val="left"/>
            </w:pPr>
            <w:r>
              <w:t xml:space="preserve">€ 15,057.50</w:t>
            </w:r>
          </w:p>
        </w:tc>
      </w:tr>
      <w:tr>
        <w:tc>
          <w:tcPr>
            <w:gridSpan w:val="4"/>
          </w:tcPr>
          <w:p>
            <w:pPr>
              <w:pStyle w:val="Compact"/>
              <w:jc w:val="right"/>
            </w:pPr>
            <w:r>
              <w:t xml:space="preserve">Grand Total (incl. VAT):</w:t>
            </w:r>
          </w:p>
        </w:tc>
        <w:tc>
          <w:tcPr/>
          <w:p>
            <w:pPr>
              <w:pStyle w:val="Compact"/>
              <w:jc w:val="left"/>
            </w:pPr>
            <w:r>
              <w:t xml:space="preserve">€ 94,307.50</w:t>
            </w:r>
          </w:p>
        </w:tc>
      </w:tr>
    </w:tbl>
    <w:bookmarkEnd w:id="23"/>
    <w:bookmarkStart w:id="24" w:name="scope-and-delivery-location"/>
    <w:p>
      <w:pPr>
        <w:pStyle w:val="Heading2"/>
      </w:pPr>
      <w:r>
        <w:t xml:space="preserve">4. Scope and Delivery Location</w:t>
      </w:r>
    </w:p>
    <w:p>
      <w:pPr>
        <w:pStyle w:val="FirstParagraph"/>
      </w:pPr>
      <w:r>
        <w:t xml:space="preserve">All services under this Purchase Order shall be performed primarily at the Buyer's registered office located at Friedrichstraße 183, 10117 Berlin, Germany, or at such other premises in</w:t>
      </w:r>
      <w:r>
        <w:t xml:space="preserve"> </w:t>
      </w:r>
      <w:r>
        <w:t xml:space="preserve">Germany Berlin</w:t>
      </w:r>
      <w:r>
        <w:t xml:space="preserve"> </w:t>
      </w:r>
      <w:r>
        <w:t xml:space="preserve">as mutually agreed in writing. The</w:t>
      </w:r>
      <w:r>
        <w:t xml:space="preserve"> </w:t>
      </w:r>
      <w:r>
        <w:t xml:space="preserve">Banker</w:t>
      </w:r>
      <w:r>
        <w:t xml:space="preserve"> </w:t>
      </w:r>
      <w:r>
        <w:t xml:space="preserve">shall ensure that all deliverables, reports, and advisory memoranda are prepared in accordance with German accounting standards (HGB) and, where applicable, International Financial Reporting Standards (IFRS). The</w:t>
      </w:r>
      <w:r>
        <w:t xml:space="preserve"> </w:t>
      </w:r>
      <w:r>
        <w:t xml:space="preserve">Banker</w:t>
      </w:r>
      <w:r>
        <w:t xml:space="preserve"> </w:t>
      </w:r>
      <w:r>
        <w:t xml:space="preserve">is expected to maintain full professional confidentiality in compliance with the German Banking Act (Kreditwesengesetz, KWG) and the General Data Protection Regulation (GDPR) as implemented in Germany.</w:t>
      </w:r>
    </w:p>
    <w:bookmarkEnd w:id="24"/>
    <w:bookmarkStart w:id="25" w:name="payment-and-invoicing"/>
    <w:p>
      <w:pPr>
        <w:pStyle w:val="Heading2"/>
      </w:pPr>
      <w:r>
        <w:t xml:space="preserve">5. Payment and Invoicing</w:t>
      </w:r>
    </w:p>
    <w:p>
      <w:pPr>
        <w:pStyle w:val="FirstParagraph"/>
      </w:pPr>
      <w:r>
        <w:t xml:space="preserve">Invoices issued by the</w:t>
      </w:r>
      <w:r>
        <w:t xml:space="preserve"> </w:t>
      </w:r>
      <w:r>
        <w:t xml:space="preserve">Banker</w:t>
      </w:r>
      <w:r>
        <w:t xml:space="preserve"> </w:t>
      </w:r>
      <w:r>
        <w:t xml:space="preserve">shall be submitted to the Buyer's accounts payable department in Berlin, Germany, no later than the last business day of the month in which the service was rendered. Payment shall be made via SEPA bank transfer to the account specified on the invoice within thirty (30) calendar days of receipt. Late payments shall accrue interest at the statutory rate under § 288 of the German Civil Code (Bürgerliches Gesetzbuch, BGB). The Buyer reserves the right to withhold payment for any disputed line items pending resolution.</w:t>
      </w:r>
    </w:p>
    <w:bookmarkEnd w:id="25"/>
    <w:bookmarkStart w:id="26" w:name="terms-and-conditions"/>
    <w:p>
      <w:pPr>
        <w:pStyle w:val="Heading2"/>
      </w:pPr>
      <w:r>
        <w:t xml:space="preserve">6. Terms and Conditions</w:t>
      </w:r>
    </w:p>
    <w:p>
      <w:pPr>
        <w:numPr>
          <w:ilvl w:val="0"/>
          <w:numId w:val="1001"/>
        </w:numPr>
        <w:pStyle w:val="Compact"/>
      </w:pPr>
      <w:r>
        <w:rPr>
          <w:bCs/>
          <w:b/>
        </w:rPr>
        <w:t xml:space="preserve">6.1</w:t>
      </w:r>
      <w:r>
        <w:t xml:space="preserve"> </w:t>
      </w:r>
      <w:r>
        <w:t xml:space="preserve">This Purchase Order is governed by the laws of the Federal Republic of Germany. Any disputes arising from or in connection with this Purchase Order shall be subject to the exclusive jurisdiction of the competent courts in Berlin, Germany.</w:t>
      </w:r>
    </w:p>
    <w:p>
      <w:pPr>
        <w:numPr>
          <w:ilvl w:val="0"/>
          <w:numId w:val="1001"/>
        </w:numPr>
        <w:pStyle w:val="Compact"/>
      </w:pPr>
      <w:r>
        <w:rPr>
          <w:bCs/>
          <w:b/>
        </w:rPr>
        <w:t xml:space="preserve">6.2</w:t>
      </w:r>
      <w:r>
        <w:t xml:space="preserve"> </w:t>
      </w:r>
      <w:r>
        <w:t xml:space="preserve">The</w:t>
      </w:r>
      <w:r>
        <w:t xml:space="preserve"> </w:t>
      </w:r>
      <w:r>
        <w:t xml:space="preserve">Banker</w:t>
      </w:r>
      <w:r>
        <w:t xml:space="preserve"> </w:t>
      </w:r>
      <w:r>
        <w:t xml:space="preserve">warrants that all services shall be performed with the skill, care, and diligence expected of a qualified banking professional registered with the Bundesbank and licensed by BaFin in Germany.</w:t>
      </w:r>
    </w:p>
    <w:p>
      <w:pPr>
        <w:numPr>
          <w:ilvl w:val="0"/>
          <w:numId w:val="1001"/>
        </w:numPr>
        <w:pStyle w:val="Compact"/>
      </w:pPr>
      <w:r>
        <w:rPr>
          <w:bCs/>
          <w:b/>
        </w:rPr>
        <w:t xml:space="preserve">6.3</w:t>
      </w:r>
      <w:r>
        <w:t xml:space="preserve"> </w:t>
      </w:r>
      <w:r>
        <w:t xml:space="preserve">The</w:t>
      </w:r>
      <w:r>
        <w:t xml:space="preserve"> </w:t>
      </w:r>
      <w:r>
        <w:t xml:space="preserve">Banker</w:t>
      </w:r>
      <w:r>
        <w:t xml:space="preserve"> </w:t>
      </w:r>
      <w:r>
        <w:t xml:space="preserve">shall not subcontract any portion of the engagement without prior written consent from the Buyer. Any approved subcontractor must be based in or regularly operating in</w:t>
      </w:r>
      <w:r>
        <w:t xml:space="preserve"> </w:t>
      </w:r>
      <w:r>
        <w:t xml:space="preserve">Germany Berlin</w:t>
      </w:r>
      <w:r>
        <w:t xml:space="preserve">.</w:t>
      </w:r>
    </w:p>
    <w:p>
      <w:pPr>
        <w:numPr>
          <w:ilvl w:val="0"/>
          <w:numId w:val="1001"/>
        </w:numPr>
        <w:pStyle w:val="Compact"/>
      </w:pPr>
      <w:r>
        <w:rPr>
          <w:bCs/>
          <w:b/>
        </w:rPr>
        <w:t xml:space="preserve">6.4</w:t>
      </w:r>
      <w:r>
        <w:t xml:space="preserve"> </w:t>
      </w:r>
      <w:r>
        <w:t xml:space="preserve">The Buyer may terminate this Purchase Order with thirty (30) days' written notice. In the event of termination, the Buyer shall pay for all services rendered up to the effective date of termination.</w:t>
      </w:r>
    </w:p>
    <w:p>
      <w:pPr>
        <w:numPr>
          <w:ilvl w:val="0"/>
          <w:numId w:val="1001"/>
        </w:numPr>
        <w:pStyle w:val="Compact"/>
      </w:pPr>
      <w:r>
        <w:rPr>
          <w:bCs/>
          <w:b/>
        </w:rPr>
        <w:t xml:space="preserve">6.5</w:t>
      </w:r>
      <w:r>
        <w:t xml:space="preserve"> </w:t>
      </w:r>
      <w:r>
        <w:t xml:space="preserve">The</w:t>
      </w:r>
      <w:r>
        <w:t xml:space="preserve"> </w:t>
      </w:r>
      <w:r>
        <w:t xml:space="preserve">Banker</w:t>
      </w:r>
      <w:r>
        <w:t xml:space="preserve"> </w:t>
      </w:r>
      <w:r>
        <w:t xml:space="preserve">shall maintain professional indemnity insurance with a minimum coverage of € 2,000,000 per claim, valid throughout the term of this Purchase Order in Germany.</w:t>
      </w:r>
    </w:p>
    <w:p>
      <w:pPr>
        <w:numPr>
          <w:ilvl w:val="0"/>
          <w:numId w:val="1001"/>
        </w:numPr>
        <w:pStyle w:val="Compact"/>
      </w:pPr>
      <w:r>
        <w:rPr>
          <w:bCs/>
          <w:b/>
        </w:rPr>
        <w:t xml:space="preserve">6.6</w:t>
      </w:r>
      <w:r>
        <w:t xml:space="preserve"> </w:t>
      </w:r>
      <w:r>
        <w:t xml:space="preserve">All intellectual property created specifically for the Buyer under this Purchase Order shall vest in the Buyer upon full payment. The</w:t>
      </w:r>
      <w:r>
        <w:t xml:space="preserve"> </w:t>
      </w:r>
      <w:r>
        <w:t xml:space="preserve">Banker</w:t>
      </w:r>
      <w:r>
        <w:t xml:space="preserve"> </w:t>
      </w:r>
      <w:r>
        <w:t xml:space="preserve">retains the right to use general methodologies and templates not specific to the Buyer.</w:t>
      </w:r>
    </w:p>
    <w:p>
      <w:pPr>
        <w:numPr>
          <w:ilvl w:val="0"/>
          <w:numId w:val="1001"/>
        </w:numPr>
        <w:pStyle w:val="Compact"/>
      </w:pPr>
      <w:r>
        <w:rPr>
          <w:bCs/>
          <w:b/>
        </w:rPr>
        <w:t xml:space="preserve">6.7</w:t>
      </w:r>
      <w:r>
        <w:t xml:space="preserve"> </w:t>
      </w:r>
      <w:r>
        <w:t xml:space="preserve">This Purchase Order constitutes the entire agreement between the parties with respect to the subject matter herein and supersedes all prior negotiations, representations, and agreements relating to the engagement of the</w:t>
      </w:r>
      <w:r>
        <w:t xml:space="preserve"> </w:t>
      </w:r>
      <w:r>
        <w:t xml:space="preserve">Banker</w:t>
      </w:r>
      <w:r>
        <w:t xml:space="preserve"> </w:t>
      </w:r>
      <w:r>
        <w:t xml:space="preserve">in</w:t>
      </w:r>
      <w:r>
        <w:t xml:space="preserve"> </w:t>
      </w:r>
      <w:r>
        <w:t xml:space="preserve">Berlin, Germany</w:t>
      </w:r>
      <w:r>
        <w:t xml:space="preserve">.</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the terms set forth in this Purchase Order. The Buyer authorizes the</w:t>
      </w:r>
      <w:r>
        <w:t xml:space="preserve"> </w:t>
      </w:r>
      <w:r>
        <w:t xml:space="preserve">Banker</w:t>
      </w:r>
      <w:r>
        <w:t xml:space="preserve"> </w:t>
      </w:r>
      <w:r>
        <w:t xml:space="preserve">to commence the services described herein effective 1 July 2025 at the designated location in</w:t>
      </w:r>
      <w:r>
        <w:t xml:space="preserve"> </w:t>
      </w:r>
      <w:r>
        <w:t xml:space="preserve">Germany Berlin</w:t>
      </w:r>
      <w:r>
        <w:t xml:space="preserve">.</w:t>
      </w:r>
    </w:p>
    <w:bookmarkEnd w:id="27"/>
    <w:p>
      <w:pPr>
        <w:pStyle w:val="BodyText"/>
      </w:pPr>
      <w:r>
        <w:rPr>
          <w:bCs/>
          <w:b/>
        </w:rPr>
        <w:t xml:space="preserve">For and on behalf of the Buyer:</w:t>
      </w:r>
      <w:r>
        <w:br/>
      </w:r>
      <w:r>
        <w:t xml:space="preserve">Meridian Capital Holdings GmbH</w:t>
      </w:r>
      <w:r>
        <w:br/>
      </w:r>
      <w:r>
        <w:br/>
      </w:r>
    </w:p>
    <w:p>
      <w:pPr>
        <w:pStyle w:val="BodyText"/>
      </w:pPr>
      <w:r>
        <w:t xml:space="preserve">Dr. Katharina Vogel</w:t>
      </w:r>
      <w:r>
        <w:br/>
      </w:r>
      <w:r>
        <w:t xml:space="preserve">Chief Financial Officer</w:t>
      </w:r>
      <w:r>
        <w:br/>
      </w:r>
      <w:r>
        <w:t xml:space="preserve">Date: _______________</w:t>
      </w:r>
    </w:p>
    <w:p>
      <w:pPr>
        <w:pStyle w:val="BodyText"/>
      </w:pPr>
      <w:r>
        <w:rPr>
          <w:bCs/>
          <w:b/>
        </w:rPr>
        <w:t xml:space="preserve">For and on behalf of the Seller:</w:t>
      </w:r>
      <w:r>
        <w:br/>
      </w:r>
      <w:r>
        <w:t xml:space="preserve">Dr. Heinrich Brandt &amp; Associates</w:t>
      </w:r>
      <w:r>
        <w:br/>
      </w:r>
      <w:r>
        <w:br/>
      </w:r>
    </w:p>
    <w:p>
      <w:pPr>
        <w:pStyle w:val="BodyText"/>
      </w:pPr>
      <w:r>
        <w:t xml:space="preserve">Dr. Heinrich Brandt</w:t>
      </w:r>
      <w:r>
        <w:br/>
      </w:r>
      <w:r>
        <w:t xml:space="preserve">Senior Banker &amp; Principal</w:t>
      </w:r>
      <w:r>
        <w:br/>
      </w:r>
      <w:r>
        <w:t xml:space="preserve">Date: _______________</w:t>
      </w:r>
    </w:p>
    <w:p>
      <w:pPr>
        <w:pStyle w:val="BodyText"/>
      </w:pPr>
      <w:r>
        <w:t xml:space="preserve">Purchase Order PO-BER-2025-04782 | Meridian Capital Holdings GmbH, Berlin, Germany | Page 1 of 1</w:t>
      </w:r>
    </w:p>
    <w:p>
      <w:pPr>
        <w:pStyle w:val="BodyText"/>
      </w:pPr>
      <w:r>
        <w:t xml:space="preserve">This document is issued in accordance with German commercial law. For questions regarding this Purchase Order, please contact the Buyer's procurement department at procurement@meridian-capital.de.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Banking Services - Berlin, Germany</dc:title>
  <dc:creator/>
  <dc:language>en</dc:language>
  <cp:keywords/>
  <dcterms:created xsi:type="dcterms:W3CDTF">2026-10-10T03:00:03Z</dcterms:created>
  <dcterms:modified xsi:type="dcterms:W3CDTF">2026-10-10T03:00:03Z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