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Banking</w:t>
      </w:r>
      <w:r>
        <w:t xml:space="preserve"> </w:t>
      </w:r>
      <w:r>
        <w:t xml:space="preserve">Solution</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Banker Enterprise Banking Solution — Germany Frankfurt</w:t>
      </w:r>
    </w:p>
    <w:p>
      <w:pPr>
        <w:pStyle w:val="BodyText"/>
      </w:pPr>
      <w:r>
        <w:t xml:space="preserve">Document Reference: PO-FRA-2025-004872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PO-FRA-2025-004872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Location</w:t>
            </w:r>
          </w:p>
        </w:tc>
        <w:tc>
          <w:tcPr/>
          <w:p>
            <w:pPr>
              <w:pStyle w:val="Compact"/>
              <w:jc w:val="left"/>
            </w:pPr>
            <w:r>
              <w:t xml:space="preserve">Frankfurt am Main, Germany (Hesse)</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Governing Law</w:t>
            </w:r>
          </w:p>
        </w:tc>
        <w:tc>
          <w:tcPr/>
          <w:p>
            <w:pPr>
              <w:pStyle w:val="Compact"/>
              <w:jc w:val="left"/>
            </w:pPr>
            <w:r>
              <w:t xml:space="preserve">German Commercial Code (Handelsgesetzbuch - HGB)</w:t>
            </w:r>
          </w:p>
        </w:tc>
      </w:tr>
    </w:tbl>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Frankfurt Financial Services GmbH</w:t>
      </w:r>
    </w:p>
    <w:p>
      <w:pPr>
        <w:pStyle w:val="BodyText"/>
      </w:pPr>
      <w:r>
        <w:t xml:space="preserve">Mainzer Landstrasse 125</w:t>
      </w:r>
    </w:p>
    <w:p>
      <w:pPr>
        <w:pStyle w:val="BodyText"/>
      </w:pPr>
      <w:r>
        <w:t xml:space="preserve">60329 Frankfurt am Main, Germany</w:t>
      </w:r>
    </w:p>
    <w:p>
      <w:pPr>
        <w:pStyle w:val="BodyText"/>
      </w:pPr>
      <w:r>
        <w:t xml:space="preserve">VAT ID: DE 318 456 721</w:t>
      </w:r>
    </w:p>
    <w:p>
      <w:pPr>
        <w:pStyle w:val="BodyText"/>
      </w:pPr>
      <w:r>
        <w:t xml:space="preserve">HRB 45218, Amtsgericht Frankfurt am Main</w:t>
      </w:r>
    </w:p>
    <w:p>
      <w:pPr>
        <w:pStyle w:val="BodyText"/>
      </w:pPr>
      <w:r>
        <w:t xml:space="preserve">Contact: procurement@ffs-frankfurt.de</w:t>
      </w:r>
    </w:p>
    <w:p>
      <w:pPr>
        <w:pStyle w:val="BodyText"/>
      </w:pPr>
      <w:r>
        <w:t xml:space="preserve">Phone: +49 69 8842 3300</w:t>
      </w:r>
    </w:p>
    <w:bookmarkEnd w:id="21"/>
    <w:bookmarkStart w:id="22" w:name="seller-supplier"/>
    <w:p>
      <w:pPr>
        <w:pStyle w:val="Heading3"/>
      </w:pPr>
      <w:r>
        <w:t xml:space="preserve">SELLER (Supplier)</w:t>
      </w:r>
    </w:p>
    <w:p>
      <w:pPr>
        <w:pStyle w:val="FirstParagraph"/>
      </w:pPr>
      <w:r>
        <w:rPr>
          <w:bCs/>
          <w:b/>
        </w:rPr>
        <w:t xml:space="preserve">Banker Solutions International AG</w:t>
      </w:r>
    </w:p>
    <w:p>
      <w:pPr>
        <w:pStyle w:val="BodyText"/>
      </w:pPr>
      <w:r>
        <w:t xml:space="preserve">Bockenheimer Landstrasse 88</w:t>
      </w:r>
    </w:p>
    <w:p>
      <w:pPr>
        <w:pStyle w:val="BodyText"/>
      </w:pPr>
      <w:r>
        <w:t xml:space="preserve">60323 Frankfurt am Main, Germany</w:t>
      </w:r>
    </w:p>
    <w:p>
      <w:pPr>
        <w:pStyle w:val="BodyText"/>
      </w:pPr>
      <w:r>
        <w:t xml:space="preserve">VAT ID: DE 294 781 553</w:t>
      </w:r>
    </w:p>
    <w:p>
      <w:pPr>
        <w:pStyle w:val="BodyText"/>
      </w:pPr>
      <w:r>
        <w:t xml:space="preserve">HRB 38942, Amtsgericht Frankfurt am Main</w:t>
      </w:r>
    </w:p>
    <w:p>
      <w:pPr>
        <w:pStyle w:val="BodyText"/>
      </w:pPr>
      <w:r>
        <w:t xml:space="preserve">Contact: sales@banker-solutions.de</w:t>
      </w:r>
    </w:p>
    <w:p>
      <w:pPr>
        <w:pStyle w:val="BodyText"/>
      </w:pPr>
      <w:r>
        <w:t xml:space="preserve">Phone: +49 69 7712 5500</w:t>
      </w:r>
    </w:p>
    <w:bookmarkEnd w:id="22"/>
    <w:p>
      <w:pPr>
        <w:pStyle w:val="BodyText"/>
      </w:pPr>
      <w:r>
        <w:t xml:space="preserve">Description of Goods and Services — Banker Product Suite</w:t>
      </w:r>
    </w:p>
    <w:p>
      <w:pPr>
        <w:pStyle w:val="BodyText"/>
      </w:pPr>
      <w:r>
        <w:t xml:space="preserve">This Purchase Order is issued by Frankfurt Financial Services GmbH for the procurement of the</w:t>
      </w:r>
      <w:r>
        <w:t xml:space="preserve"> </w:t>
      </w:r>
      <w:r>
        <w:t xml:space="preserve">Banker</w:t>
      </w:r>
      <w:r>
        <w:t xml:space="preserve"> </w:t>
      </w:r>
      <w:r>
        <w:t xml:space="preserve">enterprise banking solution, including hardware, software licensing, implementation services, and ongoing technical support. The Banker platform is to be deployed at the Buyer's primary operational headquarters located in</w:t>
      </w:r>
      <w:r>
        <w:t xml:space="preserve"> </w:t>
      </w:r>
      <w:r>
        <w:t xml:space="preserve">Germany Frankfurt</w:t>
      </w:r>
      <w:r>
        <w:t xml:space="preserve">, specifically at the Mainzer Landstrasse 125 facility. All deliverables under this Purchase Order shall comply with the regulatory standards set forth by the European Central Bank (ECB) and the German Federal Financial Supervisory Authority (BaFin), both of which maintain significant operations in Frankfurt.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Banker Core Banking Platform — Enterprise License (perpetual, 500 concurrent users)</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Banker Risk Management Module — Advanced Analytics Add-on</w:t>
            </w:r>
          </w:p>
        </w:tc>
        <w:tc>
          <w:tcPr/>
          <w:p>
            <w:pPr>
              <w:pStyle w:val="Compact"/>
              <w:jc w:val="left"/>
            </w:pPr>
            <w:r>
              <w:t xml:space="preserve">1</w:t>
            </w:r>
          </w:p>
        </w:tc>
        <w:tc>
          <w:tcPr/>
          <w:p>
            <w:pPr>
              <w:pStyle w:val="Compact"/>
              <w:jc w:val="left"/>
            </w:pPr>
            <w:r>
              <w:t xml:space="preserve">127,500.00</w:t>
            </w:r>
          </w:p>
        </w:tc>
        <w:tc>
          <w:tcPr/>
          <w:p>
            <w:pPr>
              <w:pStyle w:val="Compact"/>
              <w:jc w:val="left"/>
            </w:pPr>
            <w:r>
              <w:t xml:space="preserve">127,500.00</w:t>
            </w:r>
          </w:p>
        </w:tc>
      </w:tr>
      <w:tr>
        <w:tc>
          <w:tcPr/>
          <w:p>
            <w:pPr>
              <w:pStyle w:val="Compact"/>
              <w:jc w:val="left"/>
            </w:pPr>
            <w:r>
              <w:t xml:space="preserve">3</w:t>
            </w:r>
          </w:p>
        </w:tc>
        <w:tc>
          <w:tcPr/>
          <w:p>
            <w:pPr>
              <w:pStyle w:val="Compact"/>
              <w:jc w:val="left"/>
            </w:pPr>
            <w:r>
              <w:t xml:space="preserve">Banker Compliance &amp; AML Screening Suite (GDPR-compliant, BaFin-certified)</w:t>
            </w:r>
          </w:p>
        </w:tc>
        <w:tc>
          <w:tcPr/>
          <w:p>
            <w:pPr>
              <w:pStyle w:val="Compact"/>
              <w:jc w:val="left"/>
            </w:pPr>
            <w:r>
              <w:t xml:space="preserve">1</w:t>
            </w:r>
          </w:p>
        </w:tc>
        <w:tc>
          <w:tcPr/>
          <w:p>
            <w:pPr>
              <w:pStyle w:val="Compact"/>
              <w:jc w:val="left"/>
            </w:pPr>
            <w:r>
              <w:t xml:space="preserve">89,200.00</w:t>
            </w:r>
          </w:p>
        </w:tc>
        <w:tc>
          <w:tcPr/>
          <w:p>
            <w:pPr>
              <w:pStyle w:val="Compact"/>
              <w:jc w:val="left"/>
            </w:pPr>
            <w:r>
              <w:t xml:space="preserve">89,200.00</w:t>
            </w:r>
          </w:p>
        </w:tc>
      </w:tr>
      <w:tr>
        <w:tc>
          <w:tcPr/>
          <w:p>
            <w:pPr>
              <w:pStyle w:val="Compact"/>
              <w:jc w:val="left"/>
            </w:pPr>
            <w:r>
              <w:t xml:space="preserve">4</w:t>
            </w:r>
          </w:p>
        </w:tc>
        <w:tc>
          <w:tcPr/>
          <w:p>
            <w:pPr>
              <w:pStyle w:val="Compact"/>
              <w:jc w:val="left"/>
            </w:pPr>
            <w:r>
              <w:t xml:space="preserve">Banker Hardware Server Rack (Dell PowerEdge R760, 4 units, Frankfurt data centre spec)</w:t>
            </w:r>
          </w:p>
        </w:tc>
        <w:tc>
          <w:tcPr/>
          <w:p>
            <w:pPr>
              <w:pStyle w:val="Compact"/>
              <w:jc w:val="left"/>
            </w:pPr>
            <w:r>
              <w:t xml:space="preserve">4</w:t>
            </w:r>
          </w:p>
        </w:tc>
        <w:tc>
          <w:tcPr/>
          <w:p>
            <w:pPr>
              <w:pStyle w:val="Compact"/>
              <w:jc w:val="left"/>
            </w:pPr>
            <w:r>
              <w:t xml:space="preserve">18,750.00</w:t>
            </w:r>
          </w:p>
        </w:tc>
        <w:tc>
          <w:tcPr/>
          <w:p>
            <w:pPr>
              <w:pStyle w:val="Compact"/>
              <w:jc w:val="left"/>
            </w:pPr>
            <w:r>
              <w:t xml:space="preserve">75,000.00</w:t>
            </w:r>
          </w:p>
        </w:tc>
      </w:tr>
      <w:tr>
        <w:tc>
          <w:tcPr/>
          <w:p>
            <w:pPr>
              <w:pStyle w:val="Compact"/>
              <w:jc w:val="left"/>
            </w:pPr>
            <w:r>
              <w:t xml:space="preserve">5</w:t>
            </w:r>
          </w:p>
        </w:tc>
        <w:tc>
          <w:tcPr/>
          <w:p>
            <w:pPr>
              <w:pStyle w:val="Compact"/>
              <w:jc w:val="left"/>
            </w:pPr>
            <w:r>
              <w:t xml:space="preserve">Banker Implementation &amp; Deployment Services (on-site, Frankfurt am Main, 12 weeks)</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6</w:t>
            </w:r>
          </w:p>
        </w:tc>
        <w:tc>
          <w:tcPr/>
          <w:p>
            <w:pPr>
              <w:pStyle w:val="Compact"/>
              <w:jc w:val="left"/>
            </w:pPr>
            <w:r>
              <w:t xml:space="preserve">Banker Annual Technical Support &amp; Maintenance Contract (Year 1, 24/7 SLA)</w:t>
            </w:r>
          </w:p>
        </w:tc>
        <w:tc>
          <w:tcPr/>
          <w:p>
            <w:pPr>
              <w:pStyle w:val="Compact"/>
              <w:jc w:val="left"/>
            </w:pPr>
            <w:r>
              <w:t xml:space="preserve">1</w:t>
            </w:r>
          </w:p>
        </w:tc>
        <w:tc>
          <w:tcPr/>
          <w:p>
            <w:pPr>
              <w:pStyle w:val="Compact"/>
              <w:jc w:val="left"/>
            </w:pPr>
            <w:r>
              <w:t xml:space="preserve">96,400.00</w:t>
            </w:r>
          </w:p>
        </w:tc>
        <w:tc>
          <w:tcPr/>
          <w:p>
            <w:pPr>
              <w:pStyle w:val="Compact"/>
              <w:jc w:val="left"/>
            </w:pPr>
            <w:r>
              <w:t xml:space="preserve">96,400.00</w:t>
            </w:r>
          </w:p>
        </w:tc>
      </w:tr>
      <w:tr>
        <w:tc>
          <w:tcPr/>
          <w:p>
            <w:pPr>
              <w:pStyle w:val="Compact"/>
              <w:jc w:val="left"/>
            </w:pPr>
            <w:r>
              <w:t xml:space="preserve">7</w:t>
            </w:r>
          </w:p>
        </w:tc>
        <w:tc>
          <w:tcPr/>
          <w:p>
            <w:pPr>
              <w:pStyle w:val="Compact"/>
              <w:jc w:val="left"/>
            </w:pPr>
            <w:r>
              <w:t xml:space="preserve">Banker Staff Training Programme (40 personnel, conducted in Frankfurt, 5-day intensive)</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1,125,100.00 EUR</w:t>
            </w:r>
          </w:p>
        </w:tc>
      </w:tr>
      <w:tr>
        <w:tc>
          <w:tcPr/>
          <w:p>
            <w:pPr>
              <w:pStyle w:val="Compact"/>
              <w:jc w:val="left"/>
            </w:pPr>
            <w:r>
              <w:t xml:space="preserve">VAT (19% — German Standard Rate)</w:t>
            </w:r>
          </w:p>
        </w:tc>
        <w:tc>
          <w:tcPr/>
          <w:p>
            <w:pPr>
              <w:pStyle w:val="Compact"/>
              <w:jc w:val="right"/>
            </w:pPr>
            <w:r>
              <w:t xml:space="preserve">213,769.00 EUR</w:t>
            </w:r>
          </w:p>
        </w:tc>
      </w:tr>
      <w:tr>
        <w:tc>
          <w:tcPr/>
          <w:p>
            <w:pPr>
              <w:pStyle w:val="Compact"/>
              <w:jc w:val="left"/>
            </w:pPr>
            <w:r>
              <w:t xml:space="preserve">Shipping &amp; Installation (Frankfurt am Main)</w:t>
            </w:r>
          </w:p>
        </w:tc>
        <w:tc>
          <w:tcPr/>
          <w:p>
            <w:pPr>
              <w:pStyle w:val="Compact"/>
              <w:jc w:val="right"/>
            </w:pPr>
            <w:r>
              <w:t xml:space="preserve">8,500.00 EUR</w:t>
            </w:r>
          </w:p>
        </w:tc>
      </w:tr>
      <w:tr>
        <w:tc>
          <w:tcPr/>
          <w:p>
            <w:pPr>
              <w:pStyle w:val="Compact"/>
              <w:jc w:val="left"/>
            </w:pPr>
            <w:r>
              <w:t xml:space="preserve">GRAND TOTAL</w:t>
            </w:r>
          </w:p>
        </w:tc>
        <w:tc>
          <w:tcPr/>
          <w:p>
            <w:pPr>
              <w:pStyle w:val="Compact"/>
              <w:jc w:val="right"/>
            </w:pPr>
            <w:r>
              <w:t xml:space="preserve">1,347,369.00 EUR</w:t>
            </w:r>
          </w:p>
        </w:tc>
      </w:tr>
    </w:tbl>
    <w:p>
      <w:pPr>
        <w:pStyle w:val="BodyText"/>
      </w:pPr>
      <w:r>
        <w:t xml:space="preserve">Terms and Conditions of This Purchase Order</w:t>
      </w:r>
    </w:p>
    <w:p>
      <w:pPr>
        <w:numPr>
          <w:ilvl w:val="0"/>
          <w:numId w:val="1001"/>
        </w:numPr>
        <w:pStyle w:val="Compact"/>
      </w:pPr>
      <w:r>
        <w:rPr>
          <w:bCs/>
          <w:b/>
        </w:rPr>
        <w:t xml:space="preserve">Delivery:</w:t>
      </w:r>
      <w:r>
        <w:t xml:space="preserve"> </w:t>
      </w:r>
      <w:r>
        <w:t xml:space="preserve">All Banker hardware components shall be delivered to the Buyer's premises at Mainzer Landstrasse 125, 60329 Frankfurt am Main, Germany, no later than 22 August 2025. Software licensing and digital deliverables shall be made available via secure transfer within five (5) business days of Purchase Order acceptance.</w:t>
      </w:r>
    </w:p>
    <w:p>
      <w:pPr>
        <w:numPr>
          <w:ilvl w:val="0"/>
          <w:numId w:val="1001"/>
        </w:numPr>
        <w:pStyle w:val="Compact"/>
      </w:pPr>
      <w:r>
        <w:rPr>
          <w:bCs/>
          <w:b/>
        </w:rPr>
        <w:t xml:space="preserve">Payment:</w:t>
      </w:r>
      <w:r>
        <w:t xml:space="preserve"> </w:t>
      </w:r>
      <w:r>
        <w:t xml:space="preserve">Payment of the full amount stated in this Purchase Order shall be made via SEPA bank transfer to the Seller's designated account within thirty (30) calendar days of receipt of a valid invoice. Late payments shall accrue interest at the statutory rate under Section 288 of the German Civil Code (BGB).</w:t>
      </w:r>
    </w:p>
    <w:p>
      <w:pPr>
        <w:numPr>
          <w:ilvl w:val="0"/>
          <w:numId w:val="1001"/>
        </w:numPr>
        <w:pStyle w:val="Compact"/>
      </w:pPr>
      <w:r>
        <w:rPr>
          <w:bCs/>
          <w:b/>
        </w:rPr>
        <w:t xml:space="preserve">Warranty:</w:t>
      </w:r>
      <w:r>
        <w:t xml:space="preserve"> </w:t>
      </w:r>
      <w:r>
        <w:t xml:space="preserve">The Banker software platform carries a standard twelve (12) month warranty from the date of successful deployment in Frankfurt. Hardware components carry a three (3) year manufacturer warranty. All warranty claims shall be directed to Banker Solutions International AG's Frankfurt service centre.</w:t>
      </w:r>
    </w:p>
    <w:p>
      <w:pPr>
        <w:numPr>
          <w:ilvl w:val="0"/>
          <w:numId w:val="1001"/>
        </w:numPr>
        <w:pStyle w:val="Compact"/>
      </w:pPr>
      <w:r>
        <w:rPr>
          <w:bCs/>
          <w:b/>
        </w:rPr>
        <w:t xml:space="preserve">Regulatory Compliance:</w:t>
      </w:r>
      <w:r>
        <w:t xml:space="preserve"> </w:t>
      </w:r>
      <w:r>
        <w:t xml:space="preserve">The Seller warrants that the Banker solution, as delivered under this Purchase Order, fully complies with all applicable regulations of the European Central Bank, the German Federal Financial Supervisory Authority (BaFin), and the General Data Protection Regulation (GDPR) as enforced in Germany. The Seller shall provide all necessary documentation to support the Buyer's regulatory filings in Frankfurt.</w:t>
      </w:r>
    </w:p>
    <w:p>
      <w:pPr>
        <w:numPr>
          <w:ilvl w:val="0"/>
          <w:numId w:val="1001"/>
        </w:numPr>
        <w:pStyle w:val="Compact"/>
      </w:pPr>
      <w:r>
        <w:rPr>
          <w:bCs/>
          <w:b/>
        </w:rPr>
        <w:t xml:space="preserve">Intellectual Property:</w:t>
      </w:r>
      <w:r>
        <w:t xml:space="preserve"> </w:t>
      </w:r>
      <w:r>
        <w:t xml:space="preserve">All intellectual property rights in the Banker software, documentation, and associated materials remain the exclusive property of Banker Solutions International AG. The Buyer is granted a non-transferable, non-exclusive licence to use the Banker platform solely for its internal banking operations in Germany.</w:t>
      </w:r>
    </w:p>
    <w:p>
      <w:pPr>
        <w:numPr>
          <w:ilvl w:val="0"/>
          <w:numId w:val="1001"/>
        </w:numPr>
        <w:pStyle w:val="Compact"/>
      </w:pPr>
      <w:r>
        <w:rPr>
          <w:bCs/>
          <w:b/>
        </w:rPr>
        <w:t xml:space="preserve">Force Majeure:</w:t>
      </w:r>
      <w:r>
        <w:t xml:space="preserve"> </w:t>
      </w:r>
      <w:r>
        <w:t xml:space="preserve">Neither party shall be liable for delays or failures in performance under this Purchase Order resulting from events beyond reasonable control, including but not limited to natural disasters, war, or government-imposed restrictions affecting operations in Germany Frankfurt or the broader European Union.</w:t>
      </w:r>
    </w:p>
    <w:p>
      <w:pPr>
        <w:numPr>
          <w:ilvl w:val="0"/>
          <w:numId w:val="1001"/>
        </w:numPr>
        <w:pStyle w:val="Compact"/>
      </w:pPr>
      <w:r>
        <w:rPr>
          <w:bCs/>
          <w:b/>
        </w:rPr>
        <w:t xml:space="preserve">Dispute Resolution:</w:t>
      </w:r>
      <w:r>
        <w:t xml:space="preserve"> </w:t>
      </w:r>
      <w:r>
        <w:t xml:space="preserve">Any disputes arising from or in connection with this Purchase Order shall be subject to the exclusive jurisdiction of the competent courts in Frankfurt am Main, Germany. The parties agree to attempt mediation before initiating formal litigation proceedings.</w:t>
      </w:r>
    </w:p>
    <w:p>
      <w:pPr>
        <w:numPr>
          <w:ilvl w:val="0"/>
          <w:numId w:val="1001"/>
        </w:numPr>
        <w:pStyle w:val="Compact"/>
      </w:pPr>
      <w:r>
        <w:rPr>
          <w:bCs/>
          <w:b/>
        </w:rPr>
        <w:t xml:space="preserve">Confidentiality:</w:t>
      </w:r>
      <w:r>
        <w:t xml:space="preserve"> </w:t>
      </w:r>
      <w:r>
        <w:t xml:space="preserve">Both parties agree to maintain strict confidentiality regarding all commercial terms, technical specifications, and operational data exchanged in connection with this Purchase Order. This obligation shall survive termination of the agreement for a period of five (5) years.</w:t>
      </w:r>
    </w:p>
    <w:p>
      <w:pPr>
        <w:pStyle w:val="FirstParagraph"/>
      </w:pPr>
      <w:r>
        <w:t xml:space="preserve">Acceptance and Authorization</w:t>
      </w:r>
    </w:p>
    <w:p>
      <w:pPr>
        <w:pStyle w:val="BodyText"/>
      </w:pPr>
      <w:r>
        <w:t xml:space="preserve">By signing below, both parties acknowledge and agree to all terms, conditions, and specifications outlined in this Purchase Order for the Banker enterprise banking solution to be deployed in Germany Frankfurt. This Purchase Order constitutes a binding commercial agreement between the parties upon execution by both authorized signatories.</w:t>
      </w:r>
    </w:p>
    <w:p>
      <w:pPr>
        <w:pStyle w:val="BodyText"/>
      </w:pPr>
      <w:r>
        <w:rPr>
          <w:bCs/>
          <w:b/>
        </w:rPr>
        <w:t xml:space="preserve">For and on behalf of the Buyer:</w:t>
      </w:r>
    </w:p>
    <w:p>
      <w:pPr>
        <w:pStyle w:val="BodyText"/>
      </w:pPr>
      <w:r>
        <w:t xml:space="preserve">Frankfurt Financial Services GmbH</w:t>
      </w:r>
    </w:p>
    <w:p>
      <w:pPr>
        <w:pStyle w:val="BodyText"/>
      </w:pPr>
      <w:r>
        <w:t xml:space="preserve">_______________________________</w:t>
      </w:r>
    </w:p>
    <w:p>
      <w:pPr>
        <w:pStyle w:val="BodyText"/>
      </w:pPr>
      <w:r>
        <w:t xml:space="preserve">Name: Dr. Heinrich Vogel</w:t>
      </w:r>
    </w:p>
    <w:p>
      <w:pPr>
        <w:pStyle w:val="BodyText"/>
      </w:pPr>
      <w:r>
        <w:t xml:space="preserve">Title: Chief Procurement Officer</w:t>
      </w:r>
    </w:p>
    <w:p>
      <w:pPr>
        <w:pStyle w:val="BodyText"/>
      </w:pPr>
      <w:r>
        <w:t xml:space="preserve">Date: _______________</w:t>
      </w:r>
    </w:p>
    <w:p>
      <w:pPr>
        <w:pStyle w:val="BodyText"/>
      </w:pPr>
      <w:r>
        <w:rPr>
          <w:bCs/>
          <w:b/>
        </w:rPr>
        <w:t xml:space="preserve">For and on behalf of the Seller:</w:t>
      </w:r>
    </w:p>
    <w:p>
      <w:pPr>
        <w:pStyle w:val="BodyText"/>
      </w:pPr>
      <w:r>
        <w:t xml:space="preserve">Banker Solutions International AG</w:t>
      </w:r>
    </w:p>
    <w:p>
      <w:pPr>
        <w:pStyle w:val="BodyText"/>
      </w:pPr>
      <w:r>
        <w:t xml:space="preserve">_______________________________</w:t>
      </w:r>
    </w:p>
    <w:p>
      <w:pPr>
        <w:pStyle w:val="BodyText"/>
      </w:pPr>
      <w:r>
        <w:t xml:space="preserve">Name: Frau Margarethe Steinbach</w:t>
      </w:r>
    </w:p>
    <w:p>
      <w:pPr>
        <w:pStyle w:val="BodyText"/>
      </w:pPr>
      <w:r>
        <w:t xml:space="preserve">Title: Director of Sales, DACH Region</w:t>
      </w:r>
    </w:p>
    <w:p>
      <w:pPr>
        <w:pStyle w:val="BodyText"/>
      </w:pPr>
      <w:r>
        <w:t xml:space="preserve">Date: _______________</w:t>
      </w:r>
    </w:p>
    <w:p>
      <w:pPr>
        <w:pStyle w:val="BodyText"/>
      </w:pPr>
      <w:r>
        <w:t xml:space="preserve">This Purchase Order (PO-FRA-2025-004872) was generated for the procurement of the Banker banking solution in Germany Frankfurt. All references to the Banker product suite, delivery locations, and regulatory frameworks pertain specifically to operations within the Frankfurt financial district, Germany. This document is valid for a period of ninety (90) days from the date of issue. © 2025 Frankfurt Financial Services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Banking Solution - Germany Frankfurt</dc:title>
  <dc:creator/>
  <dc:language>en</dc:language>
  <cp:keywords/>
  <dcterms:created xsi:type="dcterms:W3CDTF">2026-10-10T04:20:22Z</dcterms:created>
  <dcterms:modified xsi:type="dcterms:W3CDTF">2026-10-10T04:20:22Z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