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Banking</w:t>
      </w:r>
      <w:r>
        <w:t xml:space="preserve"> </w:t>
      </w:r>
      <w:r>
        <w:t xml:space="preserve">Services</w:t>
      </w:r>
      <w:r>
        <w:t xml:space="preserve"> </w:t>
      </w:r>
      <w:r>
        <w:t xml:space="preserve">-</w:t>
      </w:r>
      <w:r>
        <w:t xml:space="preserve"> </w:t>
      </w:r>
      <w:r>
        <w:t xml:space="preserve">Bangalore,</w:t>
      </w:r>
      <w:r>
        <w:t xml:space="preserve"> </w:t>
      </w:r>
      <w:r>
        <w:t xml:space="preserve">India</w:t>
      </w:r>
    </w:p>
    <w:bookmarkStart w:id="20" w:name="purchase-order"/>
    <w:p>
      <w:pPr>
        <w:pStyle w:val="Heading1"/>
      </w:pPr>
      <w:r>
        <w:t xml:space="preserve">PURCHASE ORDER</w:t>
      </w:r>
    </w:p>
    <w:p>
      <w:pPr>
        <w:pStyle w:val="FirstParagraph"/>
      </w:pPr>
      <w:r>
        <w:t xml:space="preserve">Banking Infrastructure &amp; Professional Services Procurement</w:t>
      </w:r>
    </w:p>
    <w:p>
      <w:pPr>
        <w:pStyle w:val="BodyText"/>
      </w:pPr>
      <w:r>
        <w:t xml:space="preserve">Bangalore, Karnataka, India</w:t>
      </w:r>
    </w:p>
    <w:bookmarkEnd w:id="20"/>
    <w:p>
      <w:pPr>
        <w:pStyle w:val="BodyText"/>
      </w:pPr>
      <w:r>
        <w:rPr>
          <w:bCs/>
          <w:b/>
        </w:rPr>
        <w:t xml:space="preserve">Purchase Order No.:</w:t>
      </w:r>
      <w:r>
        <w:t xml:space="preserve"> </w:t>
      </w:r>
      <w:r>
        <w:t xml:space="preserve">PO/BNG/BANK/2025-04782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PO Reference:</w:t>
      </w:r>
      <w:r>
        <w:t xml:space="preserve"> </w:t>
      </w:r>
      <w:r>
        <w:t xml:space="preserve">RBI/COMPLIANCE/2025/BLR-339</w:t>
      </w:r>
      <w:r>
        <w:br/>
      </w:r>
      <w:r>
        <w:rPr>
          <w:bCs/>
          <w:b/>
        </w:rPr>
        <w:t xml:space="preserve">Department:</w:t>
      </w:r>
      <w:r>
        <w:t xml:space="preserve"> </w:t>
      </w:r>
      <w:r>
        <w:t xml:space="preserve">Banking Operations &amp; IT</w:t>
      </w:r>
      <w:r>
        <w:br/>
      </w:r>
      <w:r>
        <w:rPr>
          <w:bCs/>
          <w:b/>
        </w:rPr>
        <w:t xml:space="preserve">Priority:</w:t>
      </w:r>
      <w:r>
        <w:t xml:space="preserve"> </w:t>
      </w:r>
      <w:r>
        <w:t xml:space="preserve">High – Critical Banking Infrastructure</w:t>
      </w:r>
    </w:p>
    <w:bookmarkStart w:id="21" w:name="buyer-details-purchasing-entity"/>
    <w:p>
      <w:pPr>
        <w:pStyle w:val="Heading2"/>
      </w:pPr>
      <w:r>
        <w:t xml:space="preserve">1. Buyer Details (Purchasing Entity)</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Deccan Financial Banking Services Pvt. Ltd.</w:t>
            </w:r>
          </w:p>
        </w:tc>
      </w:tr>
      <w:tr>
        <w:tc>
          <w:tcPr/>
          <w:p>
            <w:pPr>
              <w:pStyle w:val="Compact"/>
              <w:jc w:val="left"/>
            </w:pPr>
            <w:r>
              <w:rPr>
                <w:bCs/>
                <w:b/>
              </w:rPr>
              <w:t xml:space="preserve">Address:</w:t>
            </w:r>
          </w:p>
        </w:tc>
        <w:tc>
          <w:tcPr/>
          <w:p>
            <w:pPr>
              <w:pStyle w:val="Compact"/>
              <w:jc w:val="left"/>
            </w:pPr>
            <w:r>
              <w:t xml:space="preserve">Level 12, Prestige Tech Park, Outer Ring Road, Bellandur, Bangalore, Karnataka – 560103, India</w:t>
            </w:r>
          </w:p>
        </w:tc>
      </w:tr>
      <w:tr>
        <w:tc>
          <w:tcPr/>
          <w:p>
            <w:pPr>
              <w:pStyle w:val="Compact"/>
              <w:jc w:val="left"/>
            </w:pPr>
            <w:r>
              <w:rPr>
                <w:bCs/>
                <w:b/>
              </w:rPr>
              <w:t xml:space="preserve">GSTIN:</w:t>
            </w:r>
          </w:p>
        </w:tc>
        <w:tc>
          <w:tcPr/>
          <w:p>
            <w:pPr>
              <w:pStyle w:val="Compact"/>
              <w:jc w:val="left"/>
            </w:pPr>
            <w:r>
              <w:t xml:space="preserve">29AABCD1234E1Z5</w:t>
            </w:r>
          </w:p>
        </w:tc>
      </w:tr>
      <w:tr>
        <w:tc>
          <w:tcPr/>
          <w:p>
            <w:pPr>
              <w:pStyle w:val="Compact"/>
              <w:jc w:val="left"/>
            </w:pPr>
            <w:r>
              <w:rPr>
                <w:bCs/>
                <w:b/>
              </w:rPr>
              <w:t xml:space="preserve">CIN:</w:t>
            </w:r>
          </w:p>
        </w:tc>
        <w:tc>
          <w:tcPr/>
          <w:p>
            <w:pPr>
              <w:pStyle w:val="Compact"/>
              <w:jc w:val="left"/>
            </w:pPr>
            <w:r>
              <w:t xml:space="preserve">U65910KA2018PTC123456</w:t>
            </w:r>
          </w:p>
        </w:tc>
      </w:tr>
      <w:tr>
        <w:tc>
          <w:tcPr/>
          <w:p>
            <w:pPr>
              <w:pStyle w:val="Compact"/>
              <w:jc w:val="left"/>
            </w:pPr>
            <w:r>
              <w:rPr>
                <w:bCs/>
                <w:b/>
              </w:rPr>
              <w:t xml:space="preserve">RBI Registration No.:</w:t>
            </w:r>
          </w:p>
        </w:tc>
        <w:tc>
          <w:tcPr/>
          <w:p>
            <w:pPr>
              <w:pStyle w:val="Compact"/>
              <w:jc w:val="left"/>
            </w:pPr>
            <w:r>
              <w:t xml:space="preserve">BN/BLR/2018/004521</w:t>
            </w:r>
          </w:p>
        </w:tc>
      </w:tr>
      <w:tr>
        <w:tc>
          <w:tcPr/>
          <w:p>
            <w:pPr>
              <w:pStyle w:val="Compact"/>
              <w:jc w:val="left"/>
            </w:pPr>
            <w:r>
              <w:rPr>
                <w:bCs/>
                <w:b/>
              </w:rPr>
              <w:t xml:space="preserve">Contact Person:</w:t>
            </w:r>
          </w:p>
        </w:tc>
        <w:tc>
          <w:tcPr/>
          <w:p>
            <w:pPr>
              <w:pStyle w:val="Compact"/>
              <w:jc w:val="left"/>
            </w:pPr>
            <w:r>
              <w:t xml:space="preserve">Mr. Arjun Mehta, Head of Banking Operations</w:t>
            </w:r>
          </w:p>
        </w:tc>
      </w:tr>
      <w:tr>
        <w:tc>
          <w:tcPr/>
          <w:p>
            <w:pPr>
              <w:pStyle w:val="Compact"/>
              <w:jc w:val="left"/>
            </w:pPr>
            <w:r>
              <w:rPr>
                <w:bCs/>
                <w:b/>
              </w:rPr>
              <w:t xml:space="preserve">Email / Phone:</w:t>
            </w:r>
          </w:p>
        </w:tc>
        <w:tc>
          <w:tcPr/>
          <w:p>
            <w:pPr>
              <w:pStyle w:val="Compact"/>
              <w:jc w:val="left"/>
            </w:pPr>
            <w:r>
              <w:t xml:space="preserve">procurement@deccanbankingservices.in / +91-80-4567-8901</w:t>
            </w:r>
          </w:p>
        </w:tc>
      </w:tr>
    </w:tbl>
    <w:bookmarkEnd w:id="21"/>
    <w:bookmarkStart w:id="22" w:name="seller-supplier-details"/>
    <w:p>
      <w:pPr>
        <w:pStyle w:val="Heading2"/>
      </w:pPr>
      <w:r>
        <w:t xml:space="preserve">2. Seller / Supplier Details</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BankerTech Solutions India Pvt. Ltd.</w:t>
            </w:r>
          </w:p>
        </w:tc>
      </w:tr>
      <w:tr>
        <w:tc>
          <w:tcPr/>
          <w:p>
            <w:pPr>
              <w:pStyle w:val="Compact"/>
              <w:jc w:val="left"/>
            </w:pPr>
            <w:r>
              <w:rPr>
                <w:bCs/>
                <w:b/>
              </w:rPr>
              <w:t xml:space="preserve">Address:</w:t>
            </w:r>
          </w:p>
        </w:tc>
        <w:tc>
          <w:tcPr/>
          <w:p>
            <w:pPr>
              <w:pStyle w:val="Compact"/>
              <w:jc w:val="left"/>
            </w:pPr>
            <w:r>
              <w:t xml:space="preserve">Plot 45, Whitefield IT Corridor, Whitefield, Bangalore, Karnataka – 560066, India</w:t>
            </w:r>
          </w:p>
        </w:tc>
      </w:tr>
      <w:tr>
        <w:tc>
          <w:tcPr/>
          <w:p>
            <w:pPr>
              <w:pStyle w:val="Compact"/>
              <w:jc w:val="left"/>
            </w:pPr>
            <w:r>
              <w:rPr>
                <w:bCs/>
                <w:b/>
              </w:rPr>
              <w:t xml:space="preserve">GSTIN:</w:t>
            </w:r>
          </w:p>
        </w:tc>
        <w:tc>
          <w:tcPr/>
          <w:p>
            <w:pPr>
              <w:pStyle w:val="Compact"/>
              <w:jc w:val="left"/>
            </w:pPr>
            <w:r>
              <w:t xml:space="preserve">29AAFCB5678F1Z2</w:t>
            </w:r>
          </w:p>
        </w:tc>
      </w:tr>
      <w:tr>
        <w:tc>
          <w:tcPr/>
          <w:p>
            <w:pPr>
              <w:pStyle w:val="Compact"/>
              <w:jc w:val="left"/>
            </w:pPr>
            <w:r>
              <w:rPr>
                <w:bCs/>
                <w:b/>
              </w:rPr>
              <w:t xml:space="preserve">CIN:</w:t>
            </w:r>
          </w:p>
        </w:tc>
        <w:tc>
          <w:tcPr/>
          <w:p>
            <w:pPr>
              <w:pStyle w:val="Compact"/>
              <w:jc w:val="left"/>
            </w:pPr>
            <w:r>
              <w:t xml:space="preserve">U72900KA2015PTC098765</w:t>
            </w:r>
          </w:p>
        </w:tc>
      </w:tr>
      <w:tr>
        <w:tc>
          <w:tcPr/>
          <w:p>
            <w:pPr>
              <w:pStyle w:val="Compact"/>
              <w:jc w:val="left"/>
            </w:pPr>
            <w:r>
              <w:rPr>
                <w:bCs/>
                <w:b/>
              </w:rPr>
              <w:t xml:space="preserve">Contact Person:</w:t>
            </w:r>
          </w:p>
        </w:tc>
        <w:tc>
          <w:tcPr/>
          <w:p>
            <w:pPr>
              <w:pStyle w:val="Compact"/>
              <w:jc w:val="left"/>
            </w:pPr>
            <w:r>
              <w:t xml:space="preserve">Ms. Priya Raghavan, Director – Banking Solutions Division</w:t>
            </w:r>
          </w:p>
        </w:tc>
      </w:tr>
      <w:tr>
        <w:tc>
          <w:tcPr/>
          <w:p>
            <w:pPr>
              <w:pStyle w:val="Compact"/>
              <w:jc w:val="left"/>
            </w:pPr>
            <w:r>
              <w:rPr>
                <w:bCs/>
                <w:b/>
              </w:rPr>
              <w:t xml:space="preserve">Email / Phone:</w:t>
            </w:r>
          </w:p>
        </w:tc>
        <w:tc>
          <w:tcPr/>
          <w:p>
            <w:pPr>
              <w:pStyle w:val="Compact"/>
              <w:jc w:val="left"/>
            </w:pPr>
            <w:r>
              <w:t xml:space="preserve">sales@bankertechindia.com / +91-80-2345-6789</w:t>
            </w:r>
          </w:p>
        </w:tc>
      </w:tr>
    </w:tbl>
    <w:bookmarkEnd w:id="22"/>
    <w:bookmarkStart w:id="23" w:name="X5dc1710b2ba2391278289c2dfd96cddef004985"/>
    <w:p>
      <w:pPr>
        <w:pStyle w:val="Heading2"/>
      </w:pPr>
      <w:r>
        <w:t xml:space="preserve">3. Description of Goods and Services (Banker-Specific Procurement)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Sr. No.</w:t>
            </w:r>
          </w:p>
        </w:tc>
        <w:tc>
          <w:tcPr/>
          <w:p>
            <w:pPr>
              <w:pStyle w:val="Compact"/>
              <w:jc w:val="left"/>
            </w:pPr>
            <w:r>
              <w:t xml:space="preserve">Item / Service 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Banker-grade Core Banking System (CBS) – Enterprise License for 500 user seats, including RBI-compliant transaction processing modules, KYC verification engine, and AML screening software</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4,85,00,000.00</w:t>
            </w:r>
          </w:p>
        </w:tc>
        <w:tc>
          <w:tcPr/>
          <w:p>
            <w:pPr>
              <w:pStyle w:val="Compact"/>
              <w:jc w:val="left"/>
            </w:pPr>
            <w:r>
              <w:t xml:space="preserve">4,85,00,000.00</w:t>
            </w:r>
          </w:p>
        </w:tc>
      </w:tr>
      <w:tr>
        <w:tc>
          <w:tcPr/>
          <w:p>
            <w:pPr>
              <w:pStyle w:val="Compact"/>
              <w:jc w:val="left"/>
            </w:pPr>
            <w:r>
              <w:t xml:space="preserve">2</w:t>
            </w:r>
          </w:p>
        </w:tc>
        <w:tc>
          <w:tcPr/>
          <w:p>
            <w:pPr>
              <w:pStyle w:val="Compact"/>
              <w:jc w:val="left"/>
            </w:pPr>
            <w:r>
              <w:t xml:space="preserve">Banker Workstation Terminals – 24-inch secure terminals with biometric authentication, tamper-proof hardware, and encrypted communication modules (for branch banking operations in Bangalore)</w:t>
            </w:r>
          </w:p>
        </w:tc>
        <w:tc>
          <w:tcPr/>
          <w:p>
            <w:pPr>
              <w:pStyle w:val="Compact"/>
              <w:jc w:val="left"/>
            </w:pPr>
            <w:r>
              <w:t xml:space="preserve">120</w:t>
            </w:r>
          </w:p>
        </w:tc>
        <w:tc>
          <w:tcPr/>
          <w:p>
            <w:pPr>
              <w:pStyle w:val="Compact"/>
              <w:jc w:val="left"/>
            </w:pPr>
            <w:r>
              <w:t xml:space="preserve">Units</w:t>
            </w:r>
          </w:p>
        </w:tc>
        <w:tc>
          <w:tcPr/>
          <w:p>
            <w:pPr>
              <w:pStyle w:val="Compact"/>
              <w:jc w:val="left"/>
            </w:pPr>
            <w:r>
              <w:t xml:space="preserve">85,000.00</w:t>
            </w:r>
          </w:p>
        </w:tc>
        <w:tc>
          <w:tcPr/>
          <w:p>
            <w:pPr>
              <w:pStyle w:val="Compact"/>
              <w:jc w:val="left"/>
            </w:pPr>
            <w:r>
              <w:t xml:space="preserve">1,02,00,000.00</w:t>
            </w:r>
          </w:p>
        </w:tc>
      </w:tr>
      <w:tr>
        <w:tc>
          <w:tcPr/>
          <w:p>
            <w:pPr>
              <w:pStyle w:val="Compact"/>
              <w:jc w:val="left"/>
            </w:pPr>
            <w:r>
              <w:t xml:space="preserve">3</w:t>
            </w:r>
          </w:p>
        </w:tc>
        <w:tc>
          <w:tcPr/>
          <w:p>
            <w:pPr>
              <w:pStyle w:val="Compact"/>
              <w:jc w:val="left"/>
            </w:pPr>
            <w:r>
              <w:t xml:space="preserve">Banker Training &amp; Certification Program – Comprehensive 10-day training for 45 banking professionals on new CBS platform, digital banking protocols, and RBI compliance frameworks</w:t>
            </w:r>
          </w:p>
        </w:tc>
        <w:tc>
          <w:tcPr/>
          <w:p>
            <w:pPr>
              <w:pStyle w:val="Compact"/>
              <w:jc w:val="left"/>
            </w:pPr>
            <w:r>
              <w:t xml:space="preserve">45</w:t>
            </w:r>
          </w:p>
        </w:tc>
        <w:tc>
          <w:tcPr/>
          <w:p>
            <w:pPr>
              <w:pStyle w:val="Compact"/>
              <w:jc w:val="left"/>
            </w:pPr>
            <w:r>
              <w:t xml:space="preserve">Professionals</w:t>
            </w:r>
          </w:p>
        </w:tc>
        <w:tc>
          <w:tcPr/>
          <w:p>
            <w:pPr>
              <w:pStyle w:val="Compact"/>
              <w:jc w:val="left"/>
            </w:pPr>
            <w:r>
              <w:t xml:space="preserve">35,000.00</w:t>
            </w:r>
          </w:p>
        </w:tc>
        <w:tc>
          <w:tcPr/>
          <w:p>
            <w:pPr>
              <w:pStyle w:val="Compact"/>
              <w:jc w:val="left"/>
            </w:pPr>
            <w:r>
              <w:t xml:space="preserve">15,75,000.00</w:t>
            </w:r>
          </w:p>
        </w:tc>
      </w:tr>
      <w:tr>
        <w:tc>
          <w:tcPr/>
          <w:p>
            <w:pPr>
              <w:pStyle w:val="Compact"/>
              <w:jc w:val="left"/>
            </w:pPr>
            <w:r>
              <w:t xml:space="preserve">4</w:t>
            </w:r>
          </w:p>
        </w:tc>
        <w:tc>
          <w:tcPr/>
          <w:p>
            <w:pPr>
              <w:pStyle w:val="Compact"/>
              <w:jc w:val="left"/>
            </w:pPr>
            <w:r>
              <w:t xml:space="preserve">Banker Data Center Infrastructure – Rack-mounted servers, redundant power systems, and network switches for the Bangalore primary data center supporting banking transaction processing</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2,20,00,000.00</w:t>
            </w:r>
          </w:p>
        </w:tc>
        <w:tc>
          <w:tcPr/>
          <w:p>
            <w:pPr>
              <w:pStyle w:val="Compact"/>
              <w:jc w:val="left"/>
            </w:pPr>
            <w:r>
              <w:t xml:space="preserve">2,20,00,000.00</w:t>
            </w:r>
          </w:p>
        </w:tc>
      </w:tr>
      <w:tr>
        <w:tc>
          <w:tcPr/>
          <w:p>
            <w:pPr>
              <w:pStyle w:val="Compact"/>
              <w:jc w:val="left"/>
            </w:pPr>
            <w:r>
              <w:t xml:space="preserve">5</w:t>
            </w:r>
          </w:p>
        </w:tc>
        <w:tc>
          <w:tcPr/>
          <w:p>
            <w:pPr>
              <w:pStyle w:val="Compact"/>
              <w:jc w:val="left"/>
            </w:pPr>
            <w:r>
              <w:t xml:space="preserve">Banker Security &amp; Compliance Audit – Annual penetration testing, vulnerability assessment, and RBI Information Security Guidelines compliance audit for banking systems</w:t>
            </w:r>
          </w:p>
        </w:tc>
        <w:tc>
          <w:tcPr/>
          <w:p>
            <w:pPr>
              <w:pStyle w:val="Compact"/>
              <w:jc w:val="left"/>
            </w:pPr>
            <w:r>
              <w:t xml:space="preserve">1</w:t>
            </w:r>
          </w:p>
        </w:tc>
        <w:tc>
          <w:tcPr/>
          <w:p>
            <w:pPr>
              <w:pStyle w:val="Compact"/>
              <w:jc w:val="left"/>
            </w:pPr>
            <w:r>
              <w:t xml:space="preserve">Engagement</w:t>
            </w:r>
          </w:p>
        </w:tc>
        <w:tc>
          <w:tcPr/>
          <w:p>
            <w:pPr>
              <w:pStyle w:val="Compact"/>
              <w:jc w:val="left"/>
            </w:pPr>
            <w:r>
              <w:t xml:space="preserve">18,50,000.00</w:t>
            </w:r>
          </w:p>
        </w:tc>
        <w:tc>
          <w:tcPr/>
          <w:p>
            <w:pPr>
              <w:pStyle w:val="Compact"/>
              <w:jc w:val="left"/>
            </w:pPr>
            <w:r>
              <w:t xml:space="preserve">18,50,000.00</w:t>
            </w:r>
          </w:p>
        </w:tc>
      </w:tr>
      <w:tr>
        <w:tc>
          <w:tcPr/>
          <w:p>
            <w:pPr>
              <w:pStyle w:val="Compact"/>
              <w:jc w:val="left"/>
            </w:pPr>
            <w:r>
              <w:t xml:space="preserve">6</w:t>
            </w:r>
          </w:p>
        </w:tc>
        <w:tc>
          <w:tcPr/>
          <w:p>
            <w:pPr>
              <w:pStyle w:val="Compact"/>
              <w:jc w:val="left"/>
            </w:pPr>
            <w:r>
              <w:t xml:space="preserve">Banker Customer Relationship Management (CRM) Platform – Cloud-based CRM for retail and corporate banking clients, integrated with UPI, NEFT, RTGS, and IMPS payment gateways</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95,00,000.00</w:t>
            </w:r>
          </w:p>
        </w:tc>
        <w:tc>
          <w:tcPr/>
          <w:p>
            <w:pPr>
              <w:pStyle w:val="Compact"/>
              <w:jc w:val="left"/>
            </w:pPr>
            <w:r>
              <w:t xml:space="preserve">95,00,000.00</w:t>
            </w:r>
          </w:p>
        </w:tc>
      </w:tr>
      <w:tr>
        <w:tc>
          <w:tcPr>
            <w:gridSpan w:val="5"/>
          </w:tcPr>
          <w:p>
            <w:pPr>
              <w:pStyle w:val="Compact"/>
              <w:jc w:val="right"/>
            </w:pPr>
            <w:r>
              <w:t xml:space="preserve">Subtotal (INR):</w:t>
            </w:r>
          </w:p>
        </w:tc>
        <w:tc>
          <w:tcPr/>
          <w:p>
            <w:pPr>
              <w:pStyle w:val="Compact"/>
              <w:jc w:val="left"/>
            </w:pPr>
            <w:r>
              <w:t xml:space="preserve">9,36,25,000.00</w:t>
            </w:r>
          </w:p>
        </w:tc>
      </w:tr>
      <w:tr>
        <w:tc>
          <w:tcPr>
            <w:gridSpan w:val="5"/>
          </w:tcPr>
          <w:p>
            <w:pPr>
              <w:pStyle w:val="Compact"/>
              <w:jc w:val="right"/>
            </w:pPr>
            <w:r>
              <w:t xml:space="preserve">GST @ 18% (INR):</w:t>
            </w:r>
          </w:p>
        </w:tc>
        <w:tc>
          <w:tcPr/>
          <w:p>
            <w:pPr>
              <w:pStyle w:val="Compact"/>
              <w:jc w:val="left"/>
            </w:pPr>
            <w:r>
              <w:t xml:space="preserve">1,68,52,500.00</w:t>
            </w:r>
          </w:p>
        </w:tc>
      </w:tr>
      <w:tr>
        <w:tc>
          <w:tcPr>
            <w:gridSpan w:val="5"/>
          </w:tcPr>
          <w:p>
            <w:pPr>
              <w:pStyle w:val="Compact"/>
              <w:jc w:val="right"/>
            </w:pPr>
            <w:r>
              <w:rPr>
                <w:bCs/>
                <w:b/>
              </w:rPr>
              <w:t xml:space="preserve">Grand Total (INR):</w:t>
            </w:r>
          </w:p>
        </w:tc>
        <w:tc>
          <w:tcPr/>
          <w:p>
            <w:pPr>
              <w:pStyle w:val="Compact"/>
              <w:jc w:val="left"/>
            </w:pPr>
            <w:r>
              <w:rPr>
                <w:bCs/>
                <w:b/>
              </w:rPr>
              <w:t xml:space="preserve">11,04,77,500.00</w:t>
            </w:r>
          </w:p>
        </w:tc>
      </w:tr>
    </w:tbl>
    <w:p>
      <w:pPr>
        <w:pStyle w:val="BodyText"/>
      </w:pPr>
      <w:r>
        <w:t xml:space="preserve">Amount in Words: Indian Rupees Eleven Crore Four Lakh Seventy-Seven Thousand Five Hundred Only.</w:t>
      </w:r>
    </w:p>
    <w:bookmarkEnd w:id="23"/>
    <w:bookmarkStart w:id="24" w:name="delivery-installation-terms"/>
    <w:p>
      <w:pPr>
        <w:pStyle w:val="Heading2"/>
      </w:pPr>
      <w:r>
        <w:t xml:space="preserve">4. Delivery &amp; Installation Terms</w:t>
      </w:r>
    </w:p>
    <w:p>
      <w:pPr>
        <w:numPr>
          <w:ilvl w:val="0"/>
          <w:numId w:val="1001"/>
        </w:numPr>
        <w:pStyle w:val="Compact"/>
      </w:pPr>
      <w:r>
        <w:t xml:space="preserve">All hardware components (Banker Workstation Terminals and Data Center Infrastructure) shall be delivered to the Buyer's primary banking facility located at Prestige Tech Park, Bellandur, Bangalore, Karnataka – 560103, India, within</w:t>
      </w:r>
      <w:r>
        <w:t xml:space="preserve"> </w:t>
      </w:r>
      <w:r>
        <w:rPr>
          <w:bCs/>
          <w:b/>
        </w:rPr>
        <w:t xml:space="preserve">45 calendar days</w:t>
      </w:r>
      <w:r>
        <w:t xml:space="preserve"> </w:t>
      </w:r>
      <w:r>
        <w:t xml:space="preserve">from the date of this Purchase Order.</w:t>
      </w:r>
    </w:p>
    <w:p>
      <w:pPr>
        <w:numPr>
          <w:ilvl w:val="0"/>
          <w:numId w:val="1001"/>
        </w:numPr>
        <w:pStyle w:val="Compact"/>
      </w:pPr>
      <w:r>
        <w:t xml:space="preserve">Software licenses (Core Banking System and CRM Platform) shall be activated and made available on the Buyer's Bangalore data center servers within</w:t>
      </w:r>
      <w:r>
        <w:t xml:space="preserve"> </w:t>
      </w:r>
      <w:r>
        <w:rPr>
          <w:bCs/>
          <w:b/>
        </w:rPr>
        <w:t xml:space="preserve">30 calendar days</w:t>
      </w:r>
      <w:r>
        <w:t xml:space="preserve"> </w:t>
      </w:r>
      <w:r>
        <w:t xml:space="preserve">of the Purchase Order date.</w:t>
      </w:r>
    </w:p>
    <w:p>
      <w:pPr>
        <w:numPr>
          <w:ilvl w:val="0"/>
          <w:numId w:val="1001"/>
        </w:numPr>
        <w:pStyle w:val="Compact"/>
      </w:pPr>
      <w:r>
        <w:t xml:space="preserve">The Banker Training &amp; Certification Program shall be conducted at the Buyer's Bangalore training center and must be completed within</w:t>
      </w:r>
      <w:r>
        <w:t xml:space="preserve"> </w:t>
      </w:r>
      <w:r>
        <w:rPr>
          <w:bCs/>
          <w:b/>
        </w:rPr>
        <w:t xml:space="preserve">60 calendar days</w:t>
      </w:r>
      <w:r>
        <w:t xml:space="preserve"> </w:t>
      </w:r>
      <w:r>
        <w:t xml:space="preserve">from the date of this Purchase Order.</w:t>
      </w:r>
    </w:p>
    <w:p>
      <w:pPr>
        <w:numPr>
          <w:ilvl w:val="0"/>
          <w:numId w:val="1001"/>
        </w:numPr>
        <w:pStyle w:val="Compact"/>
      </w:pPr>
      <w:r>
        <w:t xml:space="preserve">The Banker Security &amp; Compliance Audit shall be scheduled within the first 30 days and the final audit report shall be submitted to the Buyer's Chief Risk Officer within 45 days of commencement.</w:t>
      </w:r>
    </w:p>
    <w:p>
      <w:pPr>
        <w:numPr>
          <w:ilvl w:val="0"/>
          <w:numId w:val="1001"/>
        </w:numPr>
        <w:pStyle w:val="Compact"/>
      </w:pPr>
      <w:r>
        <w:t xml:space="preserve">All deliveries and installations shall comply with the Reserve Bank of India (RBI) guidelines on information security, data localization, and banking infrastructure standards applicable in India.</w:t>
      </w:r>
    </w:p>
    <w:bookmarkEnd w:id="24"/>
    <w:bookmarkStart w:id="25" w:name="payment-terms"/>
    <w:p>
      <w:pPr>
        <w:pStyle w:val="Heading2"/>
      </w:pPr>
      <w:r>
        <w:t xml:space="preserve">5. Payment Terms</w:t>
      </w:r>
    </w:p>
    <w:p>
      <w:pPr>
        <w:numPr>
          <w:ilvl w:val="0"/>
          <w:numId w:val="1002"/>
        </w:numPr>
        <w:pStyle w:val="Compact"/>
      </w:pPr>
      <w:r>
        <w:t xml:space="preserve">Payment shall be made in Indian Rupees (INR) via RTGS/NEFT transfer to the Seller's designated bank account:</w:t>
      </w:r>
      <w:r>
        <w:t xml:space="preserve"> </w:t>
      </w:r>
      <w:r>
        <w:rPr>
          <w:bCs/>
          <w:b/>
        </w:rPr>
        <w:t xml:space="preserve">HDFC Bank, Whitefield Branch, Bangalore</w:t>
      </w:r>
      <w:r>
        <w:t xml:space="preserve">, Account No. 50200012345678, IFSC: HDFC0001234.</w:t>
      </w:r>
    </w:p>
    <w:p>
      <w:pPr>
        <w:numPr>
          <w:ilvl w:val="0"/>
          <w:numId w:val="1002"/>
        </w:numPr>
        <w:pStyle w:val="Compact"/>
      </w:pPr>
      <w:r>
        <w:rPr>
          <w:bCs/>
          <w:b/>
        </w:rPr>
        <w:t xml:space="preserve">30% advance payment</w:t>
      </w:r>
      <w:r>
        <w:t xml:space="preserve"> </w:t>
      </w:r>
      <w:r>
        <w:t xml:space="preserve">(INR 3,31,43,250.00) shall be disbursed within 7 working days of the Purchase Order acceptance.</w:t>
      </w:r>
    </w:p>
    <w:p>
      <w:pPr>
        <w:numPr>
          <w:ilvl w:val="0"/>
          <w:numId w:val="1002"/>
        </w:numPr>
        <w:pStyle w:val="Compact"/>
      </w:pPr>
      <w:r>
        <w:rPr>
          <w:bCs/>
          <w:b/>
        </w:rPr>
        <w:t xml:space="preserve">50% milestone payment</w:t>
      </w:r>
      <w:r>
        <w:t xml:space="preserve"> </w:t>
      </w:r>
      <w:r>
        <w:t xml:space="preserve">(INR 5,52,38,750.00) shall be disbursed upon successful delivery, installation, and commissioning of all hardware and software components at the Bangalore facility.</w:t>
      </w:r>
    </w:p>
    <w:p>
      <w:pPr>
        <w:numPr>
          <w:ilvl w:val="0"/>
          <w:numId w:val="1002"/>
        </w:numPr>
        <w:pStyle w:val="Compact"/>
      </w:pPr>
      <w:r>
        <w:rPr>
          <w:bCs/>
          <w:b/>
        </w:rPr>
        <w:t xml:space="preserve">20% final payment</w:t>
      </w:r>
      <w:r>
        <w:t xml:space="preserve"> </w:t>
      </w:r>
      <w:r>
        <w:t xml:space="preserve">(INR 2,20,95,500.00) shall be disbursed upon completion of the Banker Training Program, successful Security Audit, and issuance of a final acceptance certificate by the Buyer's Banking Operations team.</w:t>
      </w:r>
    </w:p>
    <w:p>
      <w:pPr>
        <w:numPr>
          <w:ilvl w:val="0"/>
          <w:numId w:val="1002"/>
        </w:numPr>
        <w:pStyle w:val="Compact"/>
      </w:pPr>
      <w:r>
        <w:t xml:space="preserve">All payments are subject to the Seller providing valid GST invoices as per the GST Act, 2017, applicable in India. The Buyer shall withhold TDS at 1% under Section 194C of the Income Tax Act, 1961, where applicable.</w:t>
      </w:r>
    </w:p>
    <w:bookmarkEnd w:id="25"/>
    <w:bookmarkStart w:id="26" w:name="terms-conditions"/>
    <w:p>
      <w:pPr>
        <w:pStyle w:val="Heading2"/>
      </w:pPr>
      <w:r>
        <w:t xml:space="preserve">6. Terms &amp; Conditions</w:t>
      </w:r>
    </w:p>
    <w:p>
      <w:pPr>
        <w:numPr>
          <w:ilvl w:val="0"/>
          <w:numId w:val="1003"/>
        </w:numPr>
        <w:pStyle w:val="Compact"/>
      </w:pPr>
      <w:r>
        <w:t xml:space="preserve">This Purchase Order is governed by the laws of India, specifically the Indian Contract Act, 1872, and all applicable banking regulations issued by the Reserve Bank of India (RBI).</w:t>
      </w:r>
    </w:p>
    <w:p>
      <w:pPr>
        <w:numPr>
          <w:ilvl w:val="0"/>
          <w:numId w:val="1003"/>
        </w:numPr>
        <w:pStyle w:val="Compact"/>
      </w:pPr>
      <w:r>
        <w:t xml:space="preserve">The Seller warrants that all banking software and hardware supplied shall be free from defects, fully compliant with RBI's Information Technology Framework for Banking, and shall support all standard Indian banking payment systems including UPI, NEFT, RTGS, IMPS, and SWIFT.</w:t>
      </w:r>
    </w:p>
    <w:p>
      <w:pPr>
        <w:numPr>
          <w:ilvl w:val="0"/>
          <w:numId w:val="1003"/>
        </w:numPr>
        <w:pStyle w:val="Compact"/>
      </w:pPr>
      <w:r>
        <w:t xml:space="preserve">The Seller shall provide a minimum</w:t>
      </w:r>
      <w:r>
        <w:t xml:space="preserve"> </w:t>
      </w:r>
      <w:r>
        <w:rPr>
          <w:bCs/>
          <w:b/>
        </w:rPr>
        <w:t xml:space="preserve">3-year warranty</w:t>
      </w:r>
      <w:r>
        <w:t xml:space="preserve"> </w:t>
      </w:r>
      <w:r>
        <w:t xml:space="preserve">on all hardware and</w:t>
      </w:r>
      <w:r>
        <w:t xml:space="preserve"> </w:t>
      </w:r>
      <w:r>
        <w:rPr>
          <w:bCs/>
          <w:b/>
        </w:rPr>
        <w:t xml:space="preserve">2-year software support and maintenance</w:t>
      </w:r>
      <w:r>
        <w:t xml:space="preserve"> </w:t>
      </w:r>
      <w:r>
        <w:t xml:space="preserve">from the date of commissioning at the Bangalore facility.</w:t>
      </w:r>
    </w:p>
    <w:p>
      <w:pPr>
        <w:numPr>
          <w:ilvl w:val="0"/>
          <w:numId w:val="1003"/>
        </w:numPr>
        <w:pStyle w:val="Compact"/>
      </w:pPr>
      <w:r>
        <w:t xml:space="preserve">All data processed, stored, or transmitted under this Purchase Order shall be hosted exclusively within India, in compliance with RBI data localization norms and the Digital Personal Data Protection Act, 2023.</w:t>
      </w:r>
    </w:p>
    <w:p>
      <w:pPr>
        <w:numPr>
          <w:ilvl w:val="0"/>
          <w:numId w:val="1003"/>
        </w:numPr>
        <w:pStyle w:val="Compact"/>
      </w:pPr>
      <w:r>
        <w:t xml:space="preserve">The Seller shall maintain a dedicated Banker support team in Bangalore, Karnataka, available 24x7 for critical banking system failures, with a maximum response time of 2 hours and resolution time of 8 hours for P1 incidents.</w:t>
      </w:r>
    </w:p>
    <w:p>
      <w:pPr>
        <w:numPr>
          <w:ilvl w:val="0"/>
          <w:numId w:val="1003"/>
        </w:numPr>
        <w:pStyle w:val="Compact"/>
      </w:pPr>
      <w:r>
        <w:t xml:space="preserve">Any dispute arising from this Purchase Order shall be subject to the exclusive jurisdiction of the competent courts in Bangalore, Karnataka, India.</w:t>
      </w:r>
    </w:p>
    <w:p>
      <w:pPr>
        <w:numPr>
          <w:ilvl w:val="0"/>
          <w:numId w:val="1003"/>
        </w:numPr>
        <w:pStyle w:val="Compact"/>
      </w:pPr>
      <w:r>
        <w:t xml:space="preserve">This Purchase Order shall remain valid for 30 days from the date of issue. Failure to accept within this period shall render this document null and void.</w:t>
      </w:r>
    </w:p>
    <w:p>
      <w:pPr>
        <w:numPr>
          <w:ilvl w:val="0"/>
          <w:numId w:val="1003"/>
        </w:numPr>
        <w:pStyle w:val="Compact"/>
      </w:pPr>
      <w:r>
        <w:t xml:space="preserve">The Seller shall not subcontract any portion of the banking infrastructure work without prior written consent from the Buyer's Chief Information Officer.</w:t>
      </w:r>
    </w:p>
    <w:bookmarkEnd w:id="26"/>
    <w:bookmarkStart w:id="27" w:name="acceptance-authorization"/>
    <w:p>
      <w:pPr>
        <w:pStyle w:val="Heading2"/>
      </w:pPr>
      <w:r>
        <w:t xml:space="preserve">7. Acceptance &amp; Authorization</w:t>
      </w:r>
    </w:p>
    <w:p>
      <w:pPr>
        <w:pStyle w:val="FirstParagraph"/>
      </w:pPr>
      <w:r>
        <w:rPr>
          <w:bCs/>
          <w:b/>
        </w:rPr>
        <w:t xml:space="preserve">For and on behalf of the Buyer</w:t>
      </w:r>
      <w:r>
        <w:br/>
      </w:r>
      <w:r>
        <w:t xml:space="preserve">Deccan Financial Banking Services Pvt. Ltd.</w:t>
      </w:r>
      <w:r>
        <w:br/>
      </w:r>
      <w:r>
        <w:t xml:space="preserve">Bangalore, Karnataka, India</w:t>
      </w:r>
      <w:r>
        <w:br/>
      </w:r>
      <w:r>
        <w:br/>
      </w:r>
      <w:r>
        <w:t xml:space="preserve">Name: Mr. Arjun Mehta</w:t>
      </w:r>
      <w:r>
        <w:br/>
      </w:r>
      <w:r>
        <w:t xml:space="preserve">Designation: Head of Banking Operations</w:t>
      </w:r>
      <w:r>
        <w:br/>
      </w:r>
      <w:r>
        <w:t xml:space="preserve">Date: _______________</w:t>
      </w:r>
    </w:p>
    <w:p>
      <w:pPr>
        <w:pStyle w:val="BodyText"/>
      </w:pPr>
      <w:r>
        <w:rPr>
          <w:bCs/>
          <w:b/>
        </w:rPr>
        <w:t xml:space="preserve">For and on behalf of the Seller</w:t>
      </w:r>
      <w:r>
        <w:br/>
      </w:r>
      <w:r>
        <w:t xml:space="preserve">BankerTech Solutions India Pvt. Ltd.</w:t>
      </w:r>
      <w:r>
        <w:br/>
      </w:r>
      <w:r>
        <w:t xml:space="preserve">Bangalore, Karnataka, India</w:t>
      </w:r>
      <w:r>
        <w:br/>
      </w:r>
      <w:r>
        <w:br/>
      </w:r>
      <w:r>
        <w:t xml:space="preserve">Name: Ms. Priya Raghavan</w:t>
      </w:r>
      <w:r>
        <w:br/>
      </w:r>
      <w:r>
        <w:t xml:space="preserve">Designation: Director – Banking Solutions</w:t>
      </w:r>
      <w:r>
        <w:br/>
      </w:r>
      <w:r>
        <w:t xml:space="preserve">Date: _______________</w:t>
      </w:r>
    </w:p>
    <w:bookmarkEnd w:id="27"/>
    <w:p>
      <w:pPr>
        <w:pStyle w:val="BodyText"/>
      </w:pPr>
      <w:r>
        <w:t xml:space="preserve">This Purchase Order (PO/BNG/BANK/2025-04782) is issued by Deccan Financial Banking Services Pvt. Ltd., Bangalore, Karnataka, India, for the procurement of banking infrastructure, professional services, and technology solutions. All transactions are subject to RBI regulations, GST Act 2017, and applicable Indian commercial laws. This document is valid only for the banking operations conducted in Bangalore, India.</w:t>
      </w:r>
    </w:p>
    <w:p>
      <w:pPr>
        <w:pStyle w:val="BodyText"/>
      </w:pPr>
      <w:r>
        <w:t xml:space="preserve">Document generated on 15 June 2025 | Page 1 of 1 | Confidential – Banking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Banking Services - Bangalore, India</dc:title>
  <dc:creator/>
  <dc:language>en</dc:language>
  <cp:keywords/>
  <dcterms:created xsi:type="dcterms:W3CDTF">2026-10-10T03:12:55Z</dcterms:created>
  <dcterms:modified xsi:type="dcterms:W3CDTF">2026-10-10T03:12:55Z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