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w:t>
      </w:r>
      <w:r>
        <w:t xml:space="preserve"> </w:t>
      </w:r>
      <w:r>
        <w:t xml:space="preserve">Indonesia</w:t>
      </w:r>
      <w:r>
        <w:t xml:space="preserve"> </w:t>
      </w:r>
      <w:r>
        <w:t xml:space="preserve">Jakarta</w:t>
      </w:r>
    </w:p>
    <w:p>
      <w:pPr>
        <w:pStyle w:val="FirstParagraph"/>
      </w:pPr>
      <w:r>
        <w:t xml:space="preserve">PO-2025-JKT-00472</w:t>
      </w:r>
    </w:p>
    <w:p>
      <w:pPr>
        <w:pStyle w:val="BodyText"/>
      </w:pPr>
      <w:r>
        <w:t xml:space="preserve">Date: 15 June 2025</w:t>
      </w:r>
    </w:p>
    <w:p>
      <w:pPr>
        <w:pStyle w:val="BodyText"/>
      </w:pPr>
      <w:r>
        <w:t xml:space="preserve">Valid Until: 15 July 2025</w:t>
      </w:r>
    </w:p>
    <w:bookmarkStart w:id="20" w:name="purchase-order"/>
    <w:p>
      <w:pPr>
        <w:pStyle w:val="Heading1"/>
      </w:pPr>
      <w:r>
        <w:t xml:space="preserve">PURCHASE ORDER</w:t>
      </w:r>
    </w:p>
    <w:p>
      <w:pPr>
        <w:pStyle w:val="FirstParagraph"/>
      </w:pPr>
      <w:r>
        <w:t xml:space="preserve">Banker Financial Solutions &amp; Banking Services — Indonesia Jakarta</w:t>
      </w:r>
    </w:p>
    <w:bookmarkEnd w:id="20"/>
    <w:bookmarkStart w:id="21" w:name="buyer-purchasing-entity"/>
    <w:p>
      <w:pPr>
        <w:pStyle w:val="Heading3"/>
      </w:pPr>
      <w:r>
        <w:t xml:space="preserve">BUYER (Purchasing Entity)</w:t>
      </w:r>
    </w:p>
    <w:p>
      <w:pPr>
        <w:pStyle w:val="FirstParagraph"/>
      </w:pPr>
      <w:r>
        <w:rPr>
          <w:bCs/>
          <w:b/>
        </w:rPr>
        <w:t xml:space="preserve">PT Banker Indonesia Jakarta</w:t>
      </w:r>
      <w:r>
        <w:br/>
      </w:r>
      <w:r>
        <w:t xml:space="preserve">Menara Banker Tower, 25th Floor</w:t>
      </w:r>
      <w:r>
        <w:br/>
      </w:r>
      <w:r>
        <w:t xml:space="preserve">Jl. Jend. Sudirman Kav. 52-53</w:t>
      </w:r>
      <w:r>
        <w:br/>
      </w:r>
      <w:r>
        <w:t xml:space="preserve">Jakarta Selatan, Indonesia Jakarta 12190</w:t>
      </w:r>
      <w:r>
        <w:br/>
      </w:r>
      <w:r>
        <w:t xml:space="preserve">Phone: +62-21-5790-4400</w:t>
      </w:r>
      <w:r>
        <w:br/>
      </w:r>
      <w:r>
        <w:t xml:space="preserve">Email: procurement@banker-indonesia.co.id</w:t>
      </w:r>
      <w:r>
        <w:br/>
      </w:r>
      <w:r>
        <w:t xml:space="preserve">NPWP: 01.234.567.8-051.000</w:t>
      </w:r>
      <w:r>
        <w:br/>
      </w:r>
      <w:r>
        <w:t xml:space="preserve">Authorized Signatory: Dr. Hendra Wijaya, Chief Procurement Officer</w:t>
      </w:r>
    </w:p>
    <w:bookmarkEnd w:id="21"/>
    <w:bookmarkStart w:id="22" w:name="seller-supplier-service-provider"/>
    <w:p>
      <w:pPr>
        <w:pStyle w:val="Heading3"/>
      </w:pPr>
      <w:r>
        <w:t xml:space="preserve">SELLER (Supplier / Service Provider)</w:t>
      </w:r>
    </w:p>
    <w:p>
      <w:pPr>
        <w:pStyle w:val="FirstParagraph"/>
      </w:pPr>
      <w:r>
        <w:rPr>
          <w:bCs/>
          <w:b/>
        </w:rPr>
        <w:t xml:space="preserve">Banker Global Technologies Pte. Ltd.</w:t>
      </w:r>
      <w:r>
        <w:br/>
      </w:r>
      <w:r>
        <w:t xml:space="preserve">Banker House, 8 Marina Boulevard</w:t>
      </w:r>
      <w:r>
        <w:br/>
      </w:r>
      <w:r>
        <w:t xml:space="preserve">Singapore 018981</w:t>
      </w:r>
      <w:r>
        <w:br/>
      </w:r>
      <w:r>
        <w:t xml:space="preserve">Phone: +65-6880-2200</w:t>
      </w:r>
      <w:r>
        <w:br/>
      </w:r>
      <w:r>
        <w:t xml:space="preserve">Email: sales@bankerglobal.com</w:t>
      </w:r>
      <w:r>
        <w:br/>
      </w:r>
      <w:r>
        <w:t xml:space="preserve">UEN: 2019334455</w:t>
      </w:r>
      <w:r>
        <w:br/>
      </w:r>
      <w:r>
        <w:t xml:space="preserve">Authorized Signatory: Ms. Catherine Lim, Regional Sales Director</w:t>
      </w:r>
    </w:p>
    <w:bookmarkEnd w:id="22"/>
    <w:p>
      <w:pPr>
        <w:pStyle w:val="BodyText"/>
      </w:pPr>
      <w:r>
        <w:t xml:space="preserve">PURCHASE ORDER DETAILS — Banker Banking Infrastructure &amp; Services Package</w:t>
      </w:r>
    </w:p>
    <w:tbl>
      <w:tblPr>
        <w:tblStyle w:val="Table"/>
        <w:tblW w:type="auto" w:w="0"/>
        <w:tblLook w:firstRow="1" w:lastRow="1"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Amount (USD)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Banker Core Banking System Software License (Enterprise Edition) — Full deployment for Indonesia Jakarta branch network, including ATM integration, digital banking modules, and real-time transaction processing engines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$1,250,000.00</w:t>
            </w:r>
          </w:p>
        </w:tc>
        <w:tc>
          <w:tcPr/>
          <w:p>
            <w:pPr>
              <w:pStyle w:val="Compact"/>
              <w:jc w:val="left"/>
            </w:pPr>
            <w:r>
              <w:t xml:space="preserve">$1,250,000.00</w:t>
            </w:r>
          </w:p>
        </w:tc>
        <w:tc>
          <w:tcPr/>
          <w:p>
            <w:pPr>
              <w:pStyle w:val="Compact"/>
              <w:jc w:val="left"/>
            </w:pPr>
            <w:r>
              <w:t xml:space="preserve">30 days</w:t>
            </w:r>
          </w:p>
        </w:tc>
      </w:tr>
      <w:tr>
        <w:tc>
          <w:tcPr/>
          <w:p>
            <w:pPr>
              <w:pStyle w:val="Compact"/>
              <w:jc w:val="left"/>
            </w:pPr>
            <w:r>
              <w:t xml:space="preserve">2</w:t>
            </w:r>
          </w:p>
        </w:tc>
        <w:tc>
          <w:tcPr/>
          <w:p>
            <w:pPr>
              <w:pStyle w:val="Compact"/>
              <w:jc w:val="left"/>
            </w:pPr>
            <w:r>
              <w:t xml:space="preserve">Banker Secure Hardware Tokens — 5,000 units of FIPS 140-2 Level 3 certified cryptographic hardware for banker authentication and multi-factor access control across all Indonesia Jakarta offices</w:t>
            </w:r>
          </w:p>
        </w:tc>
        <w:tc>
          <w:tcPr/>
          <w:p>
            <w:pPr>
              <w:pStyle w:val="Compact"/>
              <w:jc w:val="left"/>
            </w:pPr>
            <w:r>
              <w:t xml:space="preserve">5,000</w:t>
            </w:r>
          </w:p>
        </w:tc>
        <w:tc>
          <w:tcPr/>
          <w:p>
            <w:pPr>
              <w:pStyle w:val="Compact"/>
              <w:jc w:val="left"/>
            </w:pPr>
            <w:r>
              <w:t xml:space="preserve">Units</w:t>
            </w:r>
          </w:p>
        </w:tc>
        <w:tc>
          <w:tcPr/>
          <w:p>
            <w:pPr>
              <w:pStyle w:val="Compact"/>
              <w:jc w:val="left"/>
            </w:pPr>
            <w:r>
              <w:t xml:space="preserve">$45.00</w:t>
            </w:r>
          </w:p>
        </w:tc>
        <w:tc>
          <w:tcPr/>
          <w:p>
            <w:pPr>
              <w:pStyle w:val="Compact"/>
              <w:jc w:val="left"/>
            </w:pPr>
            <w:r>
              <w:t xml:space="preserve">$225,000.00</w:t>
            </w:r>
          </w:p>
        </w:tc>
        <w:tc>
          <w:tcPr/>
          <w:p>
            <w:pPr>
              <w:pStyle w:val="Compact"/>
              <w:jc w:val="left"/>
            </w:pPr>
            <w:r>
              <w:t xml:space="preserve">45 days</w:t>
            </w:r>
          </w:p>
        </w:tc>
      </w:tr>
      <w:tr>
        <w:tc>
          <w:tcPr/>
          <w:p>
            <w:pPr>
              <w:pStyle w:val="Compact"/>
              <w:jc w:val="left"/>
            </w:pPr>
            <w:r>
              <w:t xml:space="preserve">3</w:t>
            </w:r>
          </w:p>
        </w:tc>
        <w:tc>
          <w:tcPr/>
          <w:p>
            <w:pPr>
              <w:pStyle w:val="Compact"/>
              <w:jc w:val="left"/>
            </w:pPr>
            <w:r>
              <w:t xml:space="preserve">Banker Data Center Server Rack Infrastructure — 200U rack-mounted servers with redundant power supply, deployed at the primary Indonesia Jakarta data center facility in Kuningan, South Jakarta</w:t>
            </w:r>
          </w:p>
        </w:tc>
        <w:tc>
          <w:tcPr/>
          <w:p>
            <w:pPr>
              <w:pStyle w:val="Compact"/>
              <w:jc w:val="left"/>
            </w:pPr>
            <w:r>
              <w:t xml:space="preserve">12</w:t>
            </w:r>
          </w:p>
        </w:tc>
        <w:tc>
          <w:tcPr/>
          <w:p>
            <w:pPr>
              <w:pStyle w:val="Compact"/>
              <w:jc w:val="left"/>
            </w:pPr>
            <w:r>
              <w:t xml:space="preserve">Racks</w:t>
            </w:r>
          </w:p>
        </w:tc>
        <w:tc>
          <w:tcPr/>
          <w:p>
            <w:pPr>
              <w:pStyle w:val="Compact"/>
              <w:jc w:val="left"/>
            </w:pPr>
            <w:r>
              <w:t xml:space="preserve">$85,000.00</w:t>
            </w:r>
          </w:p>
        </w:tc>
        <w:tc>
          <w:tcPr/>
          <w:p>
            <w:pPr>
              <w:pStyle w:val="Compact"/>
              <w:jc w:val="left"/>
            </w:pPr>
            <w:r>
              <w:t xml:space="preserve">$1,020,000.00</w:t>
            </w:r>
          </w:p>
        </w:tc>
        <w:tc>
          <w:tcPr/>
          <w:p>
            <w:pPr>
              <w:pStyle w:val="Compact"/>
              <w:jc w:val="left"/>
            </w:pPr>
            <w:r>
              <w:t xml:space="preserve">60 days</w:t>
            </w:r>
          </w:p>
        </w:tc>
      </w:tr>
      <w:tr>
        <w:tc>
          <w:tcPr/>
          <w:p>
            <w:pPr>
              <w:pStyle w:val="Compact"/>
              <w:jc w:val="left"/>
            </w:pPr>
            <w:r>
              <w:t xml:space="preserve">4</w:t>
            </w:r>
          </w:p>
        </w:tc>
        <w:tc>
          <w:tcPr/>
          <w:p>
            <w:pPr>
              <w:pStyle w:val="Compact"/>
              <w:jc w:val="left"/>
            </w:pPr>
            <w:r>
              <w:t xml:space="preserve">Banker Cybersecurity &amp; Compliance Suite — Annual subscription for advanced threat detection, OJK (Otoritas Jasa Keuangan) regulatory compliance reporting, and anti-money-laundering monitoring tools tailored for Indonesia Jakarta banking operations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$380,000.00</w:t>
            </w:r>
          </w:p>
        </w:tc>
        <w:tc>
          <w:tcPr/>
          <w:p>
            <w:pPr>
              <w:pStyle w:val="Compact"/>
              <w:jc w:val="left"/>
            </w:pPr>
            <w:r>
              <w:t xml:space="preserve">$380,000.00</w:t>
            </w:r>
          </w:p>
        </w:tc>
        <w:tc>
          <w:tcPr/>
          <w:p>
            <w:pPr>
              <w:pStyle w:val="Compact"/>
              <w:jc w:val="left"/>
            </w:pPr>
            <w:r>
              <w:t xml:space="preserve">Immediate</w:t>
            </w:r>
          </w:p>
        </w:tc>
      </w:tr>
      <w:tr>
        <w:tc>
          <w:tcPr/>
          <w:p>
            <w:pPr>
              <w:pStyle w:val="Compact"/>
              <w:jc w:val="left"/>
            </w:pPr>
            <w:r>
              <w:t xml:space="preserve">5</w:t>
            </w:r>
          </w:p>
        </w:tc>
        <w:tc>
          <w:tcPr/>
          <w:p>
            <w:pPr>
              <w:pStyle w:val="Compact"/>
              <w:jc w:val="left"/>
            </w:pPr>
            <w:r>
              <w:t xml:space="preserve">Banker Professional Training &amp; Certification Program — On-site training for 150 banker staff members in Indonesia Jakarta covering system administration, cybersecurity protocols, and regulatory reporting procedures</w:t>
            </w:r>
          </w:p>
        </w:tc>
        <w:tc>
          <w:tcPr/>
          <w:p>
            <w:pPr>
              <w:pStyle w:val="Compact"/>
              <w:jc w:val="left"/>
            </w:pPr>
            <w:r>
              <w:t xml:space="preserve">150</w:t>
            </w:r>
          </w:p>
        </w:tc>
        <w:tc>
          <w:tcPr/>
          <w:p>
            <w:pPr>
              <w:pStyle w:val="Compact"/>
              <w:jc w:val="left"/>
            </w:pPr>
            <w:r>
              <w:t xml:space="preserve">Seats</w:t>
            </w:r>
          </w:p>
        </w:tc>
        <w:tc>
          <w:tcPr/>
          <w:p>
            <w:pPr>
              <w:pStyle w:val="Compact"/>
              <w:jc w:val="left"/>
            </w:pPr>
            <w:r>
              <w:t xml:space="preserve">$1,200.00</w:t>
            </w:r>
          </w:p>
        </w:tc>
        <w:tc>
          <w:tcPr/>
          <w:p>
            <w:pPr>
              <w:pStyle w:val="Compact"/>
              <w:jc w:val="left"/>
            </w:pPr>
            <w:r>
              <w:t xml:space="preserve">$180,000.00</w:t>
            </w:r>
          </w:p>
        </w:tc>
        <w:tc>
          <w:tcPr/>
          <w:p>
            <w:pPr>
              <w:pStyle w:val="Compact"/>
              <w:jc w:val="left"/>
            </w:pPr>
            <w:r>
              <w:t xml:space="preserve">90 days</w:t>
            </w:r>
          </w:p>
        </w:tc>
      </w:tr>
      <w:tr>
        <w:tc>
          <w:tcPr/>
          <w:p>
            <w:pPr>
              <w:pStyle w:val="Compact"/>
              <w:jc w:val="left"/>
            </w:pPr>
            <w:r>
              <w:t xml:space="preserve">6</w:t>
            </w:r>
          </w:p>
        </w:tc>
        <w:tc>
          <w:tcPr/>
          <w:p>
            <w:pPr>
              <w:pStyle w:val="Compact"/>
              <w:jc w:val="left"/>
            </w:pPr>
            <w:r>
              <w:t xml:space="preserve">Banker Cloud Disaster Recovery Service — Secondary data replication and failover infrastructure hosted in a geographically separate facility, ensuring business continuity for all Indonesia Jakarta banking operations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$295,000.00</w:t>
            </w:r>
          </w:p>
        </w:tc>
        <w:tc>
          <w:tcPr/>
          <w:p>
            <w:pPr>
              <w:pStyle w:val="Compact"/>
              <w:jc w:val="left"/>
            </w:pPr>
            <w:r>
              <w:t xml:space="preserve">$295,000.00</w:t>
            </w:r>
          </w:p>
        </w:tc>
        <w:tc>
          <w:tcPr/>
          <w:p>
            <w:pPr>
              <w:pStyle w:val="Compact"/>
              <w:jc w:val="left"/>
            </w:pPr>
            <w:r>
              <w:t xml:space="preserve">Immediate</w:t>
            </w:r>
          </w:p>
        </w:tc>
      </w:tr>
      <w:tr>
        <w:tc>
          <w:tcPr/>
          <w:p>
            <w:pPr>
              <w:pStyle w:val="Compact"/>
              <w:jc w:val="left"/>
            </w:pPr>
            <w:r>
              <w:t xml:space="preserve">7</w:t>
            </w:r>
          </w:p>
        </w:tc>
        <w:tc>
          <w:tcPr/>
          <w:p>
            <w:pPr>
              <w:pStyle w:val="Compact"/>
              <w:jc w:val="left"/>
            </w:pPr>
            <w:r>
              <w:t xml:space="preserve">Banker Customer Relationship Management (CRM) Platform — Enterprise license for managing retail and corporate banker-client relationships, with integration to Banker core banking modules and Indonesia Jakarta branch reporting dashboards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$420,000.00</w:t>
            </w:r>
          </w:p>
        </w:tc>
        <w:tc>
          <w:tcPr/>
          <w:p>
            <w:pPr>
              <w:pStyle w:val="Compact"/>
              <w:jc w:val="left"/>
            </w:pPr>
            <w:r>
              <w:t xml:space="preserve">$420,000.00</w:t>
            </w:r>
          </w:p>
        </w:tc>
        <w:tc>
          <w:tcPr/>
          <w:p>
            <w:pPr>
              <w:pStyle w:val="Compact"/>
              <w:jc w:val="left"/>
            </w:pPr>
            <w:r>
              <w:t xml:space="preserve">45 days</w:t>
            </w:r>
          </w:p>
        </w:tc>
      </w:tr>
      <w:tr>
        <w:tc>
          <w:tcPr/>
          <w:p>
            <w:pPr>
              <w:pStyle w:val="Compact"/>
              <w:jc w:val="left"/>
            </w:pPr>
            <w:r>
              <w:t xml:space="preserve">8</w:t>
            </w:r>
          </w:p>
        </w:tc>
        <w:tc>
          <w:tcPr/>
          <w:p>
            <w:pPr>
              <w:pStyle w:val="Compact"/>
              <w:jc w:val="left"/>
            </w:pPr>
            <w:r>
              <w:t xml:space="preserve">Banker Network Infrastructure — Fiber-optic backbone cabling, enterprise-grade switches, and load balancers for the Indonesia Jakarta headquarters and 12 satellite banking branches across Greater Jakarta</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$560,000.00</w:t>
            </w:r>
          </w:p>
        </w:tc>
        <w:tc>
          <w:tcPr/>
          <w:p>
            <w:pPr>
              <w:pStyle w:val="Compact"/>
              <w:jc w:val="left"/>
            </w:pPr>
            <w:r>
              <w:t xml:space="preserve">$560,000.00</w:t>
            </w:r>
          </w:p>
        </w:tc>
        <w:tc>
          <w:tcPr/>
          <w:p>
            <w:pPr>
              <w:pStyle w:val="Compact"/>
              <w:jc w:val="left"/>
            </w:pPr>
            <w:r>
              <w:t xml:space="preserve">75 days</w:t>
            </w:r>
          </w:p>
        </w:tc>
      </w:tr>
      <w:tr>
        <w:tc>
          <w:tcPr>
            <w:gridSpan w:val="5"/>
          </w:tcPr>
          <w:p>
            <w:pPr>
              <w:pStyle w:val="Compact"/>
              <w:jc w:val="right"/>
            </w:pPr>
            <w:r>
              <w:t xml:space="preserve">SUBTOTAL</w:t>
            </w:r>
          </w:p>
        </w:tc>
        <w:tc>
          <w:tcPr/>
          <w:p>
            <w:pPr>
              <w:pStyle w:val="Compact"/>
              <w:jc w:val="left"/>
            </w:pPr>
            <w:r>
              <w:t xml:space="preserve">$4,330,000.00</w:t>
            </w:r>
          </w:p>
        </w:tc>
        <w:tc>
          <w:tcPr/>
          <w:p>
            <w:pPr>
              <w:pStyle w:val="Compact"/>
            </w:pPr>
          </w:p>
        </w:tc>
      </w:tr>
      <w:tr>
        <w:tc>
          <w:tcPr>
            <w:gridSpan w:val="5"/>
          </w:tcPr>
          <w:p>
            <w:pPr>
              <w:pStyle w:val="Compact"/>
              <w:jc w:val="right"/>
            </w:pPr>
            <w:r>
              <w:t xml:space="preserve">VAT (11% — Indonesia Jakarta Tax Authority)</w:t>
            </w:r>
          </w:p>
        </w:tc>
        <w:tc>
          <w:tcPr/>
          <w:p>
            <w:pPr>
              <w:pStyle w:val="Compact"/>
              <w:jc w:val="left"/>
            </w:pPr>
            <w:r>
              <w:t xml:space="preserve">$476,300.00</w:t>
            </w:r>
          </w:p>
        </w:tc>
        <w:tc>
          <w:tcPr/>
          <w:p>
            <w:pPr>
              <w:pStyle w:val="Compact"/>
            </w:pPr>
          </w:p>
        </w:tc>
      </w:tr>
      <w:tr>
        <w:tc>
          <w:tcPr>
            <w:gridSpan w:val="5"/>
          </w:tcPr>
          <w:p>
            <w:pPr>
              <w:pStyle w:val="Compact"/>
              <w:jc w:val="right"/>
            </w:pPr>
            <w:r>
              <w:t xml:space="preserve">GRAND TOTAL (USD)</w:t>
            </w:r>
          </w:p>
        </w:tc>
        <w:tc>
          <w:tcPr/>
          <w:p>
            <w:pPr>
              <w:pStyle w:val="Compact"/>
              <w:jc w:val="left"/>
            </w:pPr>
            <w:r>
              <w:t xml:space="preserve">$4,806,300.00</w:t>
            </w:r>
          </w:p>
        </w:tc>
        <w:tc>
          <w:tcPr/>
          <w:p>
            <w:pPr>
              <w:pStyle w:val="Compact"/>
            </w:pPr>
          </w:p>
        </w:tc>
      </w:tr>
      <w:tr>
        <w:tc>
          <w:tcPr>
            <w:gridSpan w:val="5"/>
          </w:tcPr>
          <w:p>
            <w:pPr>
              <w:pStyle w:val="Compact"/>
              <w:jc w:val="right"/>
            </w:pPr>
            <w:r>
              <w:t xml:space="preserve">GRAND TOTAL (IDR @ 15,850/USD)</w:t>
            </w:r>
          </w:p>
        </w:tc>
        <w:tc>
          <w:tcPr/>
          <w:p>
            <w:pPr>
              <w:pStyle w:val="Compact"/>
              <w:jc w:val="left"/>
            </w:pPr>
            <w:r>
              <w:t xml:space="preserve">IDR 76,179,855,000.00</w:t>
            </w:r>
          </w:p>
        </w:tc>
        <w:tc>
          <w:tcPr/>
          <w:p>
            <w:pPr>
              <w:pStyle w:val="Compact"/>
            </w:pP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Indonesia, with specific reference to commercial regulations applicable in Indonesia Jakarta. Any disputes arising from this Purchase Order related to Banker services or products shall be resolved through arbitration at the Indonesia National Board of Arbitration (BANI) in Jakarta.</w:t>
      </w:r>
    </w:p>
    <w:p>
      <w:pPr>
        <w:numPr>
          <w:ilvl w:val="0"/>
          <w:numId w:val="1001"/>
        </w:numPr>
        <w:pStyle w:val="Compact"/>
      </w:pPr>
      <w:r>
        <w:rPr>
          <w:bCs/>
          <w:b/>
        </w:rPr>
        <w:t xml:space="preserve">Payment Terms:</w:t>
      </w:r>
      <w:r>
        <w:t xml:space="preserve"> </w:t>
      </w:r>
      <w:r>
        <w:t xml:space="preserve">Payment shall be made in three installments: 30% upon execution of this Purchase Order, 40% upon delivery and acceptance of all Banker hardware and software components in Indonesia Jakarta, and 30% upon successful completion of the 90-day warranty and training period. All payments shall be made via wire transfer to the Banker Global Technologies account in USD, or in IDR to the designated local account in Indonesia Jakarta.</w:t>
      </w:r>
    </w:p>
    <w:p>
      <w:pPr>
        <w:numPr>
          <w:ilvl w:val="0"/>
          <w:numId w:val="1001"/>
        </w:numPr>
        <w:pStyle w:val="Compact"/>
      </w:pPr>
      <w:r>
        <w:rPr>
          <w:bCs/>
          <w:b/>
        </w:rPr>
        <w:t xml:space="preserve">Delivery and Installation:</w:t>
      </w:r>
      <w:r>
        <w:t xml:space="preserve"> </w:t>
      </w:r>
      <w:r>
        <w:t xml:space="preserve">All Banker products and services shall be delivered, installed, and commissioned at the PT Banker Indonesia Jakarta headquarters located in Menara Banker Tower, Sudirman, Jakarta Selatan. The Seller shall bear all shipping, customs clearance, and import duties associated with delivering Banker equipment into Indonesia Jakarta.</w:t>
      </w:r>
    </w:p>
    <w:p>
      <w:pPr>
        <w:numPr>
          <w:ilvl w:val="0"/>
          <w:numId w:val="1001"/>
        </w:numPr>
        <w:pStyle w:val="Compact"/>
      </w:pPr>
      <w:r>
        <w:rPr>
          <w:bCs/>
          <w:b/>
        </w:rPr>
        <w:t xml:space="preserve">Warranty:</w:t>
      </w:r>
      <w:r>
        <w:t xml:space="preserve"> </w:t>
      </w:r>
      <w:r>
        <w:t xml:space="preserve">Banker Global Technologies warrants that all hardware components shall be free from defects in materials and workmanship for a period of 36 months from the date of installation in Indonesia Jakarta. Software licenses carry a 12-month defect liability period. The Banker cybersecurity and cloud services carry a 99.9% uptime service-level agreement.</w:t>
      </w:r>
    </w:p>
    <w:p>
      <w:pPr>
        <w:numPr>
          <w:ilvl w:val="0"/>
          <w:numId w:val="1001"/>
        </w:numPr>
        <w:pStyle w:val="Compact"/>
      </w:pPr>
      <w:r>
        <w:rPr>
          <w:bCs/>
          <w:b/>
        </w:rPr>
        <w:t xml:space="preserve">Regulatory Compliance:</w:t>
      </w:r>
      <w:r>
        <w:t xml:space="preserve"> </w:t>
      </w:r>
      <w:r>
        <w:t xml:space="preserve">The Seller confirms that all Banker products and services comply with the regulations of Otoritas Jasa Keuangan (OJK), Bank Indonesia, and the Indonesia Jakarta Financial Services Authority. The Seller shall provide all necessary documentation to support the Buyer's regulatory filings in Indonesia Jakarta.</w:t>
      </w:r>
    </w:p>
    <w:p>
      <w:pPr>
        <w:numPr>
          <w:ilvl w:val="0"/>
          <w:numId w:val="1001"/>
        </w:numPr>
        <w:pStyle w:val="Compact"/>
      </w:pPr>
      <w:r>
        <w:rPr>
          <w:bCs/>
          <w:b/>
        </w:rPr>
        <w:t xml:space="preserve">Intellectual Property:</w:t>
      </w:r>
      <w:r>
        <w:t xml:space="preserve"> </w:t>
      </w:r>
      <w:r>
        <w:t xml:space="preserve">All Banker proprietary software, algorithms, and documentation remain the intellectual property of Banker Global Technologies Pte. Ltd. The Buyer is granted a non-transferable, non-exclusive license to use the Banker software solely for its banking operations in Indonesia Jakarta.</w:t>
      </w:r>
    </w:p>
    <w:p>
      <w:pPr>
        <w:numPr>
          <w:ilvl w:val="0"/>
          <w:numId w:val="1001"/>
        </w:numPr>
        <w:pStyle w:val="Compact"/>
      </w:pPr>
      <w:r>
        <w:rPr>
          <w:bCs/>
          <w:b/>
        </w:rPr>
        <w:t xml:space="preserve">Confidentiality:</w:t>
      </w:r>
      <w:r>
        <w:t xml:space="preserve"> </w:t>
      </w:r>
      <w:r>
        <w:t xml:space="preserve">Both parties agree to maintain strict confidentiality regarding all financial data, customer information, and banking operations of PT Banker Indonesia Jakarta. No Banker system data shall be accessed, stored, or processed outside of Indonesia Jakarta without explicit written consent.</w:t>
      </w:r>
    </w:p>
    <w:p>
      <w:pPr>
        <w:numPr>
          <w:ilvl w:val="0"/>
          <w:numId w:val="1001"/>
        </w:numPr>
        <w:pStyle w:val="Compact"/>
      </w:pPr>
      <w:r>
        <w:rPr>
          <w:bCs/>
          <w:b/>
        </w:rPr>
        <w:t xml:space="preserve">Force Majeure:</w:t>
      </w:r>
      <w:r>
        <w:t xml:space="preserve"> </w:t>
      </w:r>
      <w:r>
        <w:t xml:space="preserve">Neither party shall be liable for delays or failures in performance caused by natural disasters, government actions, or events beyond reasonable control, including but not limited to volcanic activity, flooding in Indonesia Jakarta, or national emergency declarations.</w:t>
      </w:r>
    </w:p>
    <w:p>
      <w:pPr>
        <w:numPr>
          <w:ilvl w:val="0"/>
          <w:numId w:val="1001"/>
        </w:numPr>
        <w:pStyle w:val="Compact"/>
      </w:pPr>
      <w:r>
        <w:rPr>
          <w:bCs/>
          <w:b/>
        </w:rPr>
        <w:t xml:space="preserve">Termination:</w:t>
      </w:r>
      <w:r>
        <w:t xml:space="preserve"> </w:t>
      </w:r>
      <w:r>
        <w:t xml:space="preserve">Either party may terminate this Purchase Order with 60 days written notice. In the event of termination, the Seller shall provide a full data migration plan for all Banker systems deployed in Indonesia Jakarta, and the Buyer shall settle all outstanding payments for services rendered to date.</w:t>
      </w:r>
    </w:p>
    <w:p>
      <w:pPr>
        <w:numPr>
          <w:ilvl w:val="0"/>
          <w:numId w:val="1001"/>
        </w:numPr>
        <w:pStyle w:val="Compact"/>
      </w:pPr>
      <w:r>
        <w:rPr>
          <w:bCs/>
          <w:b/>
        </w:rPr>
        <w:t xml:space="preserve">Acceptance:</w:t>
      </w:r>
      <w:r>
        <w:t xml:space="preserve"> </w:t>
      </w:r>
      <w:r>
        <w:t xml:space="preserve">The Buyer shall have 14 business days from the date of delivery to inspect and accept all Banker goods and services. Failure to provide written notice of rejection within this period shall constitute acceptance of the Banker deliverables in Indonesia Jakarta.</w:t>
      </w:r>
    </w:p>
    <w:p>
      <w:pPr>
        <w:pStyle w:val="FirstParagraph"/>
      </w:pPr>
      <w:r>
        <w:t xml:space="preserve">AUTHORIZATION &amp; SIGNATURES</w:t>
      </w:r>
    </w:p>
    <w:p>
      <w:pPr>
        <w:pStyle w:val="BodyText"/>
      </w:pPr>
      <w:r>
        <w:rPr>
          <w:bCs/>
          <w:b/>
        </w:rPr>
        <w:t xml:space="preserve">For and on behalf of the BUYER:</w:t>
      </w:r>
      <w:r>
        <w:br/>
      </w:r>
      <w:r>
        <w:t xml:space="preserve">PT Banker Indonesia Jakarta</w:t>
      </w:r>
    </w:p>
    <w:p>
      <w:pPr>
        <w:pStyle w:val="BodyText"/>
      </w:pPr>
      <w:r>
        <w:t xml:space="preserve">Dr. Hendra Wijaya</w:t>
      </w:r>
      <w:r>
        <w:br/>
      </w:r>
      <w:r>
        <w:t xml:space="preserve">Chief Procurement Officer</w:t>
      </w:r>
      <w:r>
        <w:br/>
      </w:r>
      <w:r>
        <w:t xml:space="preserve">Date: _______________</w:t>
      </w:r>
    </w:p>
    <w:p>
      <w:pPr>
        <w:pStyle w:val="BodyText"/>
      </w:pPr>
      <w:r>
        <w:rPr>
          <w:bCs/>
          <w:b/>
        </w:rPr>
        <w:t xml:space="preserve">For and on behalf of the SELLER:</w:t>
      </w:r>
      <w:r>
        <w:br/>
      </w:r>
      <w:r>
        <w:t xml:space="preserve">Banker Global Technologies Pte. Ltd.</w:t>
      </w:r>
    </w:p>
    <w:p>
      <w:pPr>
        <w:pStyle w:val="BodyText"/>
      </w:pPr>
      <w:r>
        <w:t xml:space="preserve">Ms. Catherine Lim</w:t>
      </w:r>
      <w:r>
        <w:br/>
      </w:r>
      <w:r>
        <w:t xml:space="preserve">Regional Sales Director</w:t>
      </w:r>
      <w:r>
        <w:br/>
      </w:r>
      <w:r>
        <w:t xml:space="preserve">Date: _______________</w:t>
      </w:r>
    </w:p>
    <w:p>
      <w:pPr>
        <w:pStyle w:val="BodyText"/>
      </w:pPr>
      <w:r>
        <w:t xml:space="preserve">This Purchase Order (PO-2025-JKT-00472) is issued by PT Banker Indonesia Jakarta for the procurement of Banker banking infrastructure, software, and professional services. This document is valid only for the Indonesia Jakarta operational jurisdiction. All references to "Banker" in this document pertain to the Banker product suite and Banker Global Technologies as the designated supplier. This Purchase Order is subject to the terms and conditions stated herein and applicable Indonesian commercial law. — End of Document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 Indonesia Jakarta</dc:title>
  <dc:creator/>
  <dc:language>en</dc:language>
  <cp:keywords/>
  <dcterms:created xsi:type="dcterms:W3CDTF">2026-10-10T01:58:24Z</dcterms:created>
  <dcterms:modified xsi:type="dcterms:W3CDTF">2026-10-10T01:58:24Z</dcterms:modified>
</cp:coreProperties>
</file>

<file path=docProps/custom.xml><?xml version="1.0" encoding="utf-8"?>
<Properties xmlns="http://schemas.openxmlformats.org/officeDocument/2006/custom-properties" xmlns:vt="http://schemas.openxmlformats.org/officeDocument/2006/docPropsVTypes"/>
</file>