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Solutions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Banker Solutions &amp; Banking Infrastructure Procurement</w:t>
      </w:r>
    </w:p>
    <w:p>
      <w:pPr>
        <w:pStyle w:val="BodyText"/>
      </w:pPr>
      <w:r>
        <w:t xml:space="preserve">Issued for Use in Iran Tehran</w:t>
      </w:r>
    </w:p>
    <w:bookmarkEnd w:id="20"/>
    <w:p>
      <w:pPr>
        <w:pStyle w:val="BodyText"/>
      </w:pPr>
      <w:r>
        <w:rPr>
          <w:bCs/>
          <w:b/>
        </w:rPr>
        <w:t xml:space="preserve">Purchase Order No.:</w:t>
      </w:r>
      <w:r>
        <w:t xml:space="preserve"> </w:t>
      </w:r>
      <w:r>
        <w:t xml:space="preserve">PO-IR-THR-2025-04782</w:t>
      </w:r>
      <w:r>
        <w:br/>
      </w:r>
      <w:r>
        <w:rPr>
          <w:bCs/>
          <w:b/>
        </w:rPr>
        <w:t xml:space="preserve">Date of Issue:</w:t>
      </w:r>
      <w:r>
        <w:t xml:space="preserve"> </w:t>
      </w:r>
      <w:r>
        <w:t xml:space="preserve">15 Farvardin 1404 (April 5, 2025)</w:t>
      </w:r>
      <w:r>
        <w:br/>
      </w:r>
      <w:r>
        <w:rPr>
          <w:bCs/>
          <w:b/>
        </w:rPr>
        <w:t xml:space="preserve">Valid Until:</w:t>
      </w:r>
      <w:r>
        <w:t xml:space="preserve"> </w:t>
      </w:r>
      <w:r>
        <w:t xml:space="preserve">30 Khordad 1404 (June 20, 2025)</w:t>
      </w:r>
    </w:p>
    <w:p>
      <w:pPr>
        <w:pStyle w:val="BodyText"/>
      </w:pPr>
      <w:r>
        <w:rPr>
          <w:bCs/>
          <w:b/>
        </w:rPr>
        <w:t xml:space="preserve">Department:</w:t>
      </w:r>
      <w:r>
        <w:t xml:space="preserve"> </w:t>
      </w:r>
      <w:r>
        <w:t xml:space="preserve">Procurement &amp; Supply Chain</w:t>
      </w:r>
      <w:r>
        <w:br/>
      </w:r>
      <w:r>
        <w:rPr>
          <w:bCs/>
          <w:b/>
        </w:rPr>
        <w:t xml:space="preserve">Reference Code:</w:t>
      </w:r>
      <w:r>
        <w:t xml:space="preserve"> </w:t>
      </w:r>
      <w:r>
        <w:t xml:space="preserve">BKR-THR-2025</w:t>
      </w:r>
      <w:r>
        <w:br/>
      </w:r>
      <w:r>
        <w:rPr>
          <w:bCs/>
          <w:b/>
        </w:rPr>
        <w:t xml:space="preserve">Classification:</w:t>
      </w:r>
      <w:r>
        <w:t xml:space="preserve"> </w:t>
      </w:r>
      <w:r>
        <w:t xml:space="preserve">Confidential – Internal Use</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Tehran Metropolitan Banker Services Co., Ltd. (TMBSC)</w:t>
            </w:r>
          </w:p>
        </w:tc>
      </w:tr>
      <w:tr>
        <w:tc>
          <w:tcPr/>
          <w:p>
            <w:pPr>
              <w:pStyle w:val="Compact"/>
              <w:jc w:val="left"/>
            </w:pPr>
            <w:r>
              <w:t xml:space="preserve">Registered Address</w:t>
            </w:r>
          </w:p>
        </w:tc>
        <w:tc>
          <w:tcPr/>
          <w:p>
            <w:pPr>
              <w:pStyle w:val="Compact"/>
              <w:jc w:val="left"/>
            </w:pPr>
            <w:r>
              <w:t xml:space="preserve">No. 42, Vali-Asr Street, 15th Floor, Tehran, Iran – Postal Code: 14188-45672</w:t>
            </w:r>
          </w:p>
        </w:tc>
      </w:tr>
      <w:tr>
        <w:tc>
          <w:tcPr/>
          <w:p>
            <w:pPr>
              <w:pStyle w:val="Compact"/>
              <w:jc w:val="left"/>
            </w:pPr>
            <w:r>
              <w:t xml:space="preserve">Tax Identification No.</w:t>
            </w:r>
          </w:p>
        </w:tc>
        <w:tc>
          <w:tcPr/>
          <w:p>
            <w:pPr>
              <w:pStyle w:val="Compact"/>
              <w:jc w:val="left"/>
            </w:pPr>
            <w:r>
              <w:t xml:space="preserve">10284756391</w:t>
            </w:r>
          </w:p>
        </w:tc>
      </w:tr>
      <w:tr>
        <w:tc>
          <w:tcPr/>
          <w:p>
            <w:pPr>
              <w:pStyle w:val="Compact"/>
              <w:jc w:val="left"/>
            </w:pPr>
            <w:r>
              <w:t xml:space="preserve">Central Bank of Iran License</w:t>
            </w:r>
          </w:p>
        </w:tc>
        <w:tc>
          <w:tcPr/>
          <w:p>
            <w:pPr>
              <w:pStyle w:val="Compact"/>
              <w:jc w:val="left"/>
            </w:pPr>
            <w:r>
              <w:t xml:space="preserve">CBI-LIC-2019-00847</w:t>
            </w:r>
          </w:p>
        </w:tc>
      </w:tr>
      <w:tr>
        <w:tc>
          <w:tcPr/>
          <w:p>
            <w:pPr>
              <w:pStyle w:val="Compact"/>
              <w:jc w:val="left"/>
            </w:pPr>
            <w:r>
              <w:t xml:space="preserve">Contact Person</w:t>
            </w:r>
          </w:p>
        </w:tc>
        <w:tc>
          <w:tcPr/>
          <w:p>
            <w:pPr>
              <w:pStyle w:val="Compact"/>
              <w:jc w:val="left"/>
            </w:pPr>
            <w:r>
              <w:t xml:space="preserve">Mr. Amir Hossein Rostami, Head of Procurement</w:t>
            </w:r>
          </w:p>
        </w:tc>
      </w:tr>
      <w:tr>
        <w:tc>
          <w:tcPr/>
          <w:p>
            <w:pPr>
              <w:pStyle w:val="Compact"/>
              <w:jc w:val="left"/>
            </w:pPr>
            <w:r>
              <w:t xml:space="preserve">Telephone / Email</w:t>
            </w:r>
          </w:p>
        </w:tc>
        <w:tc>
          <w:tcPr/>
          <w:p>
            <w:pPr>
              <w:pStyle w:val="Compact"/>
              <w:jc w:val="left"/>
            </w:pPr>
            <w:r>
              <w:t xml:space="preserve">+98-21-8877-4455 / procurement@tmbsc-iran.ir</w:t>
            </w:r>
          </w:p>
        </w:tc>
      </w:tr>
    </w:tbl>
    <w:bookmarkEnd w:id="21"/>
    <w:bookmarkStart w:id="22" w:name="supplier-seller"/>
    <w:p>
      <w:pPr>
        <w:pStyle w:val="Heading2"/>
      </w:pPr>
      <w:r>
        <w:t xml:space="preserve">2.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Banker Technologies International (GBTI)</w:t>
            </w:r>
          </w:p>
        </w:tc>
      </w:tr>
      <w:tr>
        <w:tc>
          <w:tcPr/>
          <w:p>
            <w:pPr>
              <w:pStyle w:val="Compact"/>
              <w:jc w:val="left"/>
            </w:pPr>
            <w:r>
              <w:t xml:space="preserve">Registered Address</w:t>
            </w:r>
          </w:p>
        </w:tc>
        <w:tc>
          <w:tcPr/>
          <w:p>
            <w:pPr>
              <w:pStyle w:val="Compact"/>
              <w:jc w:val="left"/>
            </w:pPr>
            <w:r>
              <w:t xml:space="preserve">Unit 7, Financial District Tower, Dubai, UAE</w:t>
            </w:r>
          </w:p>
        </w:tc>
      </w:tr>
      <w:tr>
        <w:tc>
          <w:tcPr/>
          <w:p>
            <w:pPr>
              <w:pStyle w:val="Compact"/>
              <w:jc w:val="left"/>
            </w:pPr>
            <w:r>
              <w:t xml:space="preserve">Commercial Registration No.</w:t>
            </w:r>
          </w:p>
        </w:tc>
        <w:tc>
          <w:tcPr/>
          <w:p>
            <w:pPr>
              <w:pStyle w:val="Compact"/>
              <w:jc w:val="left"/>
            </w:pPr>
            <w:r>
              <w:t xml:space="preserve">CR-2021-448712</w:t>
            </w:r>
          </w:p>
        </w:tc>
      </w:tr>
      <w:tr>
        <w:tc>
          <w:tcPr/>
          <w:p>
            <w:pPr>
              <w:pStyle w:val="Compact"/>
              <w:jc w:val="left"/>
            </w:pPr>
            <w:r>
              <w:t xml:space="preserve">Contact Person</w:t>
            </w:r>
          </w:p>
        </w:tc>
        <w:tc>
          <w:tcPr/>
          <w:p>
            <w:pPr>
              <w:pStyle w:val="Compact"/>
              <w:jc w:val="left"/>
            </w:pPr>
            <w:r>
              <w:t xml:space="preserve">Ms. Sarah Al-Mansouri, Regional Sales Director – Middle East</w:t>
            </w:r>
          </w:p>
        </w:tc>
      </w:tr>
      <w:tr>
        <w:tc>
          <w:tcPr/>
          <w:p>
            <w:pPr>
              <w:pStyle w:val="Compact"/>
              <w:jc w:val="left"/>
            </w:pPr>
            <w:r>
              <w:t xml:space="preserve">Telephone / Email</w:t>
            </w:r>
          </w:p>
        </w:tc>
        <w:tc>
          <w:tcPr/>
          <w:p>
            <w:pPr>
              <w:pStyle w:val="Compact"/>
              <w:jc w:val="left"/>
            </w:pPr>
            <w:r>
              <w:t xml:space="preserve">+971-4-556-7890 / sales.me@gbti-global.com</w:t>
            </w:r>
          </w:p>
        </w:tc>
      </w:tr>
    </w:tbl>
    <w:bookmarkEnd w:id="22"/>
    <w:bookmarkStart w:id="23" w:name="description-of-banker-goods-and-services"/>
    <w:p>
      <w:pPr>
        <w:pStyle w:val="Heading2"/>
      </w:pPr>
      <w:r>
        <w:t xml:space="preserve">3. Description of Banker Goods and Services</w:t>
      </w:r>
    </w:p>
    <w:p>
      <w:pPr>
        <w:pStyle w:val="FirstParagraph"/>
      </w:pPr>
      <w:r>
        <w:t xml:space="preserve">This Purchase Order is issued by Tehran Metropolitan Banker Services Co., Ltd. for the procurement of comprehensive Banker infrastructure, hardware, software, and professional services required for the operational expansion of banking facilities located in Iran Tehran. All Banker equipment and solutions must comply with the regulatory standards set forth by the Central Bank of Iran (CBI) and the Information Technology Organization of Iran (ITOI).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Banker Core Banking System – Enterprise License (supports 50,000+ concurrent Banker transactions per second, compliant with CBI reporting standards for Iran Tehran operations)</w:t>
            </w:r>
          </w:p>
        </w:tc>
        <w:tc>
          <w:tcPr/>
          <w:p>
            <w:pPr>
              <w:pStyle w:val="Compact"/>
              <w:jc w:val="left"/>
            </w:pPr>
            <w:r>
              <w:t xml:space="preserve">1</w:t>
            </w:r>
          </w:p>
        </w:tc>
        <w:tc>
          <w:tcPr/>
          <w:p>
            <w:pPr>
              <w:pStyle w:val="Compact"/>
              <w:jc w:val="left"/>
            </w:pPr>
            <w:r>
              <w:t xml:space="preserve">4,850,000,000</w:t>
            </w:r>
          </w:p>
        </w:tc>
        <w:tc>
          <w:tcPr/>
          <w:p>
            <w:pPr>
              <w:pStyle w:val="Compact"/>
              <w:jc w:val="left"/>
            </w:pPr>
            <w:r>
              <w:t xml:space="preserve">4,850,000,000</w:t>
            </w:r>
          </w:p>
        </w:tc>
      </w:tr>
      <w:tr>
        <w:tc>
          <w:tcPr/>
          <w:p>
            <w:pPr>
              <w:pStyle w:val="Compact"/>
              <w:jc w:val="left"/>
            </w:pPr>
            <w:r>
              <w:t xml:space="preserve">2</w:t>
            </w:r>
          </w:p>
        </w:tc>
        <w:tc>
          <w:tcPr/>
          <w:p>
            <w:pPr>
              <w:pStyle w:val="Compact"/>
              <w:jc w:val="left"/>
            </w:pPr>
            <w:r>
              <w:t xml:space="preserve">Banker ATM Terminal Units – Dual-screen, biometric authentication, Persian (Farsi) and English interface, rated for Iran Tehran climate conditions (IP65)</w:t>
            </w:r>
          </w:p>
        </w:tc>
        <w:tc>
          <w:tcPr/>
          <w:p>
            <w:pPr>
              <w:pStyle w:val="Compact"/>
              <w:jc w:val="left"/>
            </w:pPr>
            <w:r>
              <w:t xml:space="preserve">25</w:t>
            </w:r>
          </w:p>
        </w:tc>
        <w:tc>
          <w:tcPr/>
          <w:p>
            <w:pPr>
              <w:pStyle w:val="Compact"/>
              <w:jc w:val="left"/>
            </w:pPr>
            <w:r>
              <w:t xml:space="preserve">320,000,000</w:t>
            </w:r>
          </w:p>
        </w:tc>
        <w:tc>
          <w:tcPr/>
          <w:p>
            <w:pPr>
              <w:pStyle w:val="Compact"/>
              <w:jc w:val="left"/>
            </w:pPr>
            <w:r>
              <w:t xml:space="preserve">8,000,000,000</w:t>
            </w:r>
          </w:p>
        </w:tc>
      </w:tr>
      <w:tr>
        <w:tc>
          <w:tcPr/>
          <w:p>
            <w:pPr>
              <w:pStyle w:val="Compact"/>
              <w:jc w:val="left"/>
            </w:pPr>
            <w:r>
              <w:t xml:space="preserve">3</w:t>
            </w:r>
          </w:p>
        </w:tc>
        <w:tc>
          <w:tcPr/>
          <w:p>
            <w:pPr>
              <w:pStyle w:val="Compact"/>
              <w:jc w:val="left"/>
            </w:pPr>
            <w:r>
              <w:t xml:space="preserve">Banker Point-of-Sale (POS) Terminals – Contactless payment, QR-based (Shetab network compatible), for retail Banker operations across Tehran districts</w:t>
            </w:r>
          </w:p>
        </w:tc>
        <w:tc>
          <w:tcPr/>
          <w:p>
            <w:pPr>
              <w:pStyle w:val="Compact"/>
              <w:jc w:val="left"/>
            </w:pPr>
            <w:r>
              <w:t xml:space="preserve">200</w:t>
            </w:r>
          </w:p>
        </w:tc>
        <w:tc>
          <w:tcPr/>
          <w:p>
            <w:pPr>
              <w:pStyle w:val="Compact"/>
              <w:jc w:val="left"/>
            </w:pPr>
            <w:r>
              <w:t xml:space="preserve">45,000,000</w:t>
            </w:r>
          </w:p>
        </w:tc>
        <w:tc>
          <w:tcPr/>
          <w:p>
            <w:pPr>
              <w:pStyle w:val="Compact"/>
              <w:jc w:val="left"/>
            </w:pPr>
            <w:r>
              <w:t xml:space="preserve">9,000,000,000</w:t>
            </w:r>
          </w:p>
        </w:tc>
      </w:tr>
      <w:tr>
        <w:tc>
          <w:tcPr/>
          <w:p>
            <w:pPr>
              <w:pStyle w:val="Compact"/>
              <w:jc w:val="left"/>
            </w:pPr>
            <w:r>
              <w:t xml:space="preserve">4</w:t>
            </w:r>
          </w:p>
        </w:tc>
        <w:tc>
          <w:tcPr/>
          <w:p>
            <w:pPr>
              <w:pStyle w:val="Compact"/>
              <w:jc w:val="left"/>
            </w:pPr>
            <w:r>
              <w:t xml:space="preserve">Banker Data Center Server Rack – 42U, redundant power supply, cooling system calibrated for Iran Tehran ambient temperatures</w:t>
            </w:r>
          </w:p>
        </w:tc>
        <w:tc>
          <w:tcPr/>
          <w:p>
            <w:pPr>
              <w:pStyle w:val="Compact"/>
              <w:jc w:val="left"/>
            </w:pPr>
            <w:r>
              <w:t xml:space="preserve">4</w:t>
            </w:r>
          </w:p>
        </w:tc>
        <w:tc>
          <w:tcPr/>
          <w:p>
            <w:pPr>
              <w:pStyle w:val="Compact"/>
              <w:jc w:val="left"/>
            </w:pPr>
            <w:r>
              <w:t xml:space="preserve">1,200,000,000</w:t>
            </w:r>
          </w:p>
        </w:tc>
        <w:tc>
          <w:tcPr/>
          <w:p>
            <w:pPr>
              <w:pStyle w:val="Compact"/>
              <w:jc w:val="left"/>
            </w:pPr>
            <w:r>
              <w:t xml:space="preserve">4,800,000,000</w:t>
            </w:r>
          </w:p>
        </w:tc>
      </w:tr>
      <w:tr>
        <w:tc>
          <w:tcPr/>
          <w:p>
            <w:pPr>
              <w:pStyle w:val="Compact"/>
              <w:jc w:val="left"/>
            </w:pPr>
            <w:r>
              <w:t xml:space="preserve">5</w:t>
            </w:r>
          </w:p>
        </w:tc>
        <w:tc>
          <w:tcPr/>
          <w:p>
            <w:pPr>
              <w:pStyle w:val="Compact"/>
              <w:jc w:val="left"/>
            </w:pPr>
            <w:r>
              <w:t xml:space="preserve">Banker Cybersecurity Suite – End-to-end encryption, intrusion detection, CBI-compliant audit logging for all Banker digital channels in Iran Tehran</w:t>
            </w:r>
          </w:p>
        </w:tc>
        <w:tc>
          <w:tcPr/>
          <w:p>
            <w:pPr>
              <w:pStyle w:val="Compact"/>
              <w:jc w:val="left"/>
            </w:pPr>
            <w:r>
              <w:t xml:space="preserve">1</w:t>
            </w:r>
          </w:p>
        </w:tc>
        <w:tc>
          <w:tcPr/>
          <w:p>
            <w:pPr>
              <w:pStyle w:val="Compact"/>
              <w:jc w:val="left"/>
            </w:pPr>
            <w:r>
              <w:t xml:space="preserve">3,600,000,000</w:t>
            </w:r>
          </w:p>
        </w:tc>
        <w:tc>
          <w:tcPr/>
          <w:p>
            <w:pPr>
              <w:pStyle w:val="Compact"/>
              <w:jc w:val="left"/>
            </w:pPr>
            <w:r>
              <w:t xml:space="preserve">3,600,000,000</w:t>
            </w:r>
          </w:p>
        </w:tc>
      </w:tr>
      <w:tr>
        <w:tc>
          <w:tcPr/>
          <w:p>
            <w:pPr>
              <w:pStyle w:val="Compact"/>
              <w:jc w:val="left"/>
            </w:pPr>
            <w:r>
              <w:t xml:space="preserve">6</w:t>
            </w:r>
          </w:p>
        </w:tc>
        <w:tc>
          <w:tcPr/>
          <w:p>
            <w:pPr>
              <w:pStyle w:val="Compact"/>
              <w:jc w:val="left"/>
            </w:pPr>
            <w:r>
              <w:t xml:space="preserve">Banker Professional Training Program – 120-hour certification for 50 Banker staff members, conducted on-site in Tehran, Iran</w:t>
            </w:r>
          </w:p>
        </w:tc>
        <w:tc>
          <w:tcPr/>
          <w:p>
            <w:pPr>
              <w:pStyle w:val="Compact"/>
              <w:jc w:val="left"/>
            </w:pPr>
            <w:r>
              <w:t xml:space="preserve">1</w:t>
            </w:r>
          </w:p>
        </w:tc>
        <w:tc>
          <w:tcPr/>
          <w:p>
            <w:pPr>
              <w:pStyle w:val="Compact"/>
              <w:jc w:val="left"/>
            </w:pPr>
            <w:r>
              <w:t xml:space="preserve">1,500,000,000</w:t>
            </w:r>
          </w:p>
        </w:tc>
        <w:tc>
          <w:tcPr/>
          <w:p>
            <w:pPr>
              <w:pStyle w:val="Compact"/>
              <w:jc w:val="left"/>
            </w:pPr>
            <w:r>
              <w:t xml:space="preserve">1,500,000,000</w:t>
            </w:r>
          </w:p>
        </w:tc>
      </w:tr>
      <w:tr>
        <w:tc>
          <w:tcPr/>
          <w:p>
            <w:pPr>
              <w:pStyle w:val="Compact"/>
              <w:jc w:val="left"/>
            </w:pPr>
            <w:r>
              <w:t xml:space="preserve">7</w:t>
            </w:r>
          </w:p>
        </w:tc>
        <w:tc>
          <w:tcPr/>
          <w:p>
            <w:pPr>
              <w:pStyle w:val="Compact"/>
              <w:jc w:val="left"/>
            </w:pPr>
            <w:r>
              <w:t xml:space="preserve">Banker Ongoing Technical Support – 36-month SLA (99.9% uptime), 24/7 support desk with Persian-speaking engineers based in Iran Tehran</w:t>
            </w:r>
          </w:p>
        </w:tc>
        <w:tc>
          <w:tcPr/>
          <w:p>
            <w:pPr>
              <w:pStyle w:val="Compact"/>
              <w:jc w:val="left"/>
            </w:pPr>
            <w:r>
              <w:t xml:space="preserve">1</w:t>
            </w:r>
          </w:p>
        </w:tc>
        <w:tc>
          <w:tcPr/>
          <w:p>
            <w:pPr>
              <w:pStyle w:val="Compact"/>
              <w:jc w:val="left"/>
            </w:pPr>
            <w:r>
              <w:t xml:space="preserve">2,800,000,000</w:t>
            </w:r>
          </w:p>
        </w:tc>
        <w:tc>
          <w:tcPr/>
          <w:p>
            <w:pPr>
              <w:pStyle w:val="Compact"/>
              <w:jc w:val="left"/>
            </w:pPr>
            <w:r>
              <w:t xml:space="preserve">2,800,000,000</w:t>
            </w:r>
          </w:p>
        </w:tc>
      </w:tr>
      <w:tr>
        <w:tc>
          <w:tcPr>
            <w:gridSpan w:val="4"/>
          </w:tcPr>
          <w:p>
            <w:pPr>
              <w:pStyle w:val="Compact"/>
              <w:jc w:val="left"/>
            </w:pPr>
            <w:r>
              <w:t xml:space="preserve">GRAND TOTAL (in Iranian Rial – IRR)</w:t>
            </w:r>
          </w:p>
        </w:tc>
        <w:tc>
          <w:tcPr/>
          <w:p>
            <w:pPr>
              <w:pStyle w:val="Compact"/>
              <w:jc w:val="left"/>
            </w:pPr>
            <w:r>
              <w:t xml:space="preserve">34,550,000,000</w:t>
            </w:r>
          </w:p>
        </w:tc>
      </w:tr>
    </w:tbl>
    <w:bookmarkEnd w:id="23"/>
    <w:bookmarkStart w:id="24" w:name="delivery-and-installation-terms"/>
    <w:p>
      <w:pPr>
        <w:pStyle w:val="Heading2"/>
      </w:pPr>
      <w:r>
        <w:t xml:space="preserve">4. Delivery and Installation Terms</w:t>
      </w:r>
    </w:p>
    <w:p>
      <w:pPr>
        <w:pStyle w:val="FirstParagraph"/>
      </w:pPr>
      <w:r>
        <w:t xml:space="preserve">All Banker hardware items listed in this Purchase Order shall be delivered to the designated Banker facility at No. 18, Enghelab Avenue, Vali-Asr District, Tehran, Iran. The supplier shall ensure that all Banker equipment is properly packaged, insured during transit, and delivered within 90 calendar days from the date of this Purchase Order. Installation, configuration, and integration of the Banker Core Banking System and all associated Banker peripherals shall be completed within 120 days. The supplier is responsible for obtaining all necessary import permits and customs clearance through the Iran Tehran customs authority (Tehran Free Zone or designated port of entry).</w:t>
      </w:r>
    </w:p>
    <w:bookmarkEnd w:id="24"/>
    <w:bookmarkStart w:id="25" w:name="payment-terms"/>
    <w:p>
      <w:pPr>
        <w:pStyle w:val="Heading2"/>
      </w:pPr>
      <w:r>
        <w:t xml:space="preserve">5. Payment Terms</w:t>
      </w:r>
    </w:p>
    <w:p>
      <w:pPr>
        <w:pStyle w:val="FirstParagraph"/>
      </w:pPr>
      <w:r>
        <w:t xml:space="preserve">Payment for this Purchase Order shall be made in Iranian Rial (IRR) via irrevocable Letter of Credit (L/C) issued by a CBI-licensed bank in Iran Tehran, in accordance with UCP 600 and applicable Iranian foreign exchange regulations. The payment schedule is as follows:</w:t>
      </w:r>
    </w:p>
    <w:p>
      <w:pPr>
        <w:numPr>
          <w:ilvl w:val="0"/>
          <w:numId w:val="1001"/>
        </w:numPr>
        <w:pStyle w:val="Compact"/>
      </w:pPr>
      <w:r>
        <w:rPr>
          <w:bCs/>
          <w:b/>
        </w:rPr>
        <w:t xml:space="preserve">30%</w:t>
      </w:r>
      <w:r>
        <w:t xml:space="preserve"> </w:t>
      </w:r>
      <w:r>
        <w:t xml:space="preserve">upon confirmation and issuance of this Purchase Order;</w:t>
      </w:r>
    </w:p>
    <w:p>
      <w:pPr>
        <w:numPr>
          <w:ilvl w:val="0"/>
          <w:numId w:val="1001"/>
        </w:numPr>
        <w:pStyle w:val="Compact"/>
      </w:pPr>
      <w:r>
        <w:rPr>
          <w:bCs/>
          <w:b/>
        </w:rPr>
        <w:t xml:space="preserve">40%</w:t>
      </w:r>
      <w:r>
        <w:t xml:space="preserve"> </w:t>
      </w:r>
      <w:r>
        <w:t xml:space="preserve">upon successful delivery and physical inspection of all Banker hardware in Iran Tehran;</w:t>
      </w:r>
    </w:p>
    <w:p>
      <w:pPr>
        <w:numPr>
          <w:ilvl w:val="0"/>
          <w:numId w:val="1001"/>
        </w:numPr>
        <w:pStyle w:val="Compact"/>
      </w:pPr>
      <w:r>
        <w:rPr>
          <w:bCs/>
          <w:b/>
        </w:rPr>
        <w:t xml:space="preserve">20%</w:t>
      </w:r>
      <w:r>
        <w:t xml:space="preserve"> </w:t>
      </w:r>
      <w:r>
        <w:t xml:space="preserve">upon completion of installation, integration, and passing of the Banker system acceptance test;</w:t>
      </w:r>
    </w:p>
    <w:p>
      <w:pPr>
        <w:numPr>
          <w:ilvl w:val="0"/>
          <w:numId w:val="1001"/>
        </w:numPr>
        <w:pStyle w:val="Compact"/>
      </w:pPr>
      <w:r>
        <w:rPr>
          <w:bCs/>
          <w:b/>
        </w:rPr>
        <w:t xml:space="preserve">10%</w:t>
      </w:r>
      <w:r>
        <w:t xml:space="preserve"> </w:t>
      </w:r>
      <w:r>
        <w:t xml:space="preserve">upon expiration of the 90-day warranty and defect-liability period.</w:t>
      </w:r>
    </w:p>
    <w:bookmarkEnd w:id="25"/>
    <w:bookmarkStart w:id="26" w:name="compliance-and-regulatory-requirements"/>
    <w:p>
      <w:pPr>
        <w:pStyle w:val="Heading2"/>
      </w:pPr>
      <w:r>
        <w:t xml:space="preserve">6. Compliance and Regulatory Requirements</w:t>
      </w:r>
    </w:p>
    <w:p>
      <w:pPr>
        <w:pStyle w:val="FirstParagraph"/>
      </w:pPr>
      <w:r>
        <w:t xml:space="preserve">The supplier acknowledges that all Banker products and services procured under this Purchase Order are intended for use exclusively within the jurisdiction of Iran Tehran and the Islamic Republic of Iran. The supplier warrants that all Banker technology complies with the following:</w:t>
      </w:r>
    </w:p>
    <w:p>
      <w:pPr>
        <w:numPr>
          <w:ilvl w:val="0"/>
          <w:numId w:val="1002"/>
        </w:numPr>
        <w:pStyle w:val="Compact"/>
      </w:pPr>
      <w:r>
        <w:t xml:space="preserve">Central Bank of Iran (CBI) technical and security standards for Banker digital infrastructure;</w:t>
      </w:r>
    </w:p>
    <w:p>
      <w:pPr>
        <w:numPr>
          <w:ilvl w:val="0"/>
          <w:numId w:val="1002"/>
        </w:numPr>
        <w:pStyle w:val="Compact"/>
      </w:pPr>
      <w:r>
        <w:t xml:space="preserve">Iranian Information Technology Organization (ITOI) data localization and sovereignty requirements;</w:t>
      </w:r>
    </w:p>
    <w:p>
      <w:pPr>
        <w:numPr>
          <w:ilvl w:val="0"/>
          <w:numId w:val="1002"/>
        </w:numPr>
        <w:pStyle w:val="Compact"/>
      </w:pPr>
      <w:r>
        <w:t xml:space="preserve">Shetab National Switching Center (NSC) interoperability protocols for all Banker payment terminals;</w:t>
      </w:r>
    </w:p>
    <w:p>
      <w:pPr>
        <w:numPr>
          <w:ilvl w:val="0"/>
          <w:numId w:val="1002"/>
        </w:numPr>
        <w:pStyle w:val="Compact"/>
      </w:pPr>
      <w:r>
        <w:t xml:space="preserve">Iranian Civil Code and Commercial Code provisions governing procurement contracts;</w:t>
      </w:r>
    </w:p>
    <w:p>
      <w:pPr>
        <w:numPr>
          <w:ilvl w:val="0"/>
          <w:numId w:val="1002"/>
        </w:numPr>
        <w:pStyle w:val="Compact"/>
      </w:pPr>
      <w:r>
        <w:t xml:space="preserve">All applicable sanctions-compliance and trade regulations as determined by the Iranian Ministry of Commerce.</w:t>
      </w:r>
    </w:p>
    <w:bookmarkEnd w:id="26"/>
    <w:bookmarkStart w:id="27" w:name="warranties-and-liability"/>
    <w:p>
      <w:pPr>
        <w:pStyle w:val="Heading2"/>
      </w:pPr>
      <w:r>
        <w:t xml:space="preserve">7. Warranties and Liability</w:t>
      </w:r>
    </w:p>
    <w:p>
      <w:pPr>
        <w:pStyle w:val="FirstParagraph"/>
      </w:pPr>
      <w:r>
        <w:t xml:space="preserve">The supplier provides a minimum 24-month warranty on all Banker hardware and a 36-month warranty on all Banker software licenses. Any Banker equipment found to be defective within the warranty period shall be repaired or replaced at no additional cost to the buyer. The supplier's total liability under this Purchase Order shall not exceed the total contract value of 34,550,000,000 IRR. Disputes arising from this Purchase Order shall be resolved through arbitration in Tehran, Iran, in accordance with the rules of the Tehran Regional Arbitration Center (TRAC).</w:t>
      </w:r>
    </w:p>
    <w:bookmarkEnd w:id="27"/>
    <w:bookmarkStart w:id="28" w:name="general-conditions"/>
    <w:p>
      <w:pPr>
        <w:pStyle w:val="Heading2"/>
      </w:pPr>
      <w:r>
        <w:t xml:space="preserve">8. General Conditions</w:t>
      </w:r>
    </w:p>
    <w:p>
      <w:pPr>
        <w:pStyle w:val="FirstParagraph"/>
      </w:pPr>
      <w:r>
        <w:t xml:space="preserve">This Purchase Order constitutes a binding agreement between the parties upon signature. Any amendments to this Purchase Order must be made in writing and signed by authorized representatives of both parties. This document is governed by the laws of the Islamic Republic of Iran. In the event of any conflict between the terms of this Purchase Order and any prior correspondence, the terms herein shall prevail. The supplier shall maintain full confidentiality of all Banker operational data, customer information, and proprietary systems accessed during the performance of this Purchase Order in Iran Tehran.</w:t>
      </w:r>
    </w:p>
    <w:bookmarkEnd w:id="28"/>
    <w:p>
      <w:pPr>
        <w:pStyle w:val="BodyText"/>
      </w:pPr>
      <w:r>
        <w:rPr>
          <w:bCs/>
          <w:b/>
        </w:rPr>
        <w:t xml:space="preserve">NOTE:</w:t>
      </w:r>
      <w:r>
        <w:t xml:space="preserve"> </w:t>
      </w:r>
      <w:r>
        <w:t xml:space="preserve">This Purchase Order is subject to final approval by the Board of Directors of Tehran Metropolitan Banker Services Co., Ltd. and the relevant regulatory clearance from the Central Bank of Iran. No Banker equipment shall be shipped or installed prior to receipt of written confirmation from the buyer's legal department in Tehran, Iran.</w:t>
      </w:r>
    </w:p>
    <w:p>
      <w:pPr>
        <w:pStyle w:val="BodyText"/>
      </w:pPr>
      <w:r>
        <w:rPr>
          <w:bCs/>
          <w:b/>
        </w:rPr>
        <w:t xml:space="preserve">Authorized Signatory – Buyer</w:t>
      </w:r>
      <w:r>
        <w:br/>
      </w:r>
      <w:r>
        <w:t xml:space="preserve">Mr. Amir Hossein Rostami</w:t>
      </w:r>
      <w:r>
        <w:br/>
      </w:r>
      <w:r>
        <w:t xml:space="preserve">Head of Procurement, TMBSC</w:t>
      </w:r>
      <w:r>
        <w:br/>
      </w:r>
      <w:r>
        <w:t xml:space="preserve">Tehran, Iran</w:t>
      </w:r>
      <w:r>
        <w:br/>
      </w:r>
      <w:r>
        <w:t xml:space="preserve">Date: _______________</w:t>
      </w:r>
    </w:p>
    <w:p>
      <w:pPr>
        <w:pStyle w:val="BodyText"/>
      </w:pPr>
      <w:r>
        <w:rPr>
          <w:bCs/>
          <w:b/>
        </w:rPr>
        <w:t xml:space="preserve">Authorized Signatory – Supplier</w:t>
      </w:r>
      <w:r>
        <w:br/>
      </w:r>
      <w:r>
        <w:t xml:space="preserve">Ms. Sarah Al-Mansouri</w:t>
      </w:r>
      <w:r>
        <w:br/>
      </w:r>
      <w:r>
        <w:t xml:space="preserve">Regional Sales Director, GBTI</w:t>
      </w:r>
      <w:r>
        <w:br/>
      </w:r>
      <w:r>
        <w:t xml:space="preserve">Date: _______________</w:t>
      </w:r>
    </w:p>
    <w:p>
      <w:pPr>
        <w:pStyle w:val="BodyText"/>
      </w:pPr>
      <w:r>
        <w:t xml:space="preserve">Purchase Order No. PO-IR-THR-2025-04782 | Tehran Metropolitan Banker Services Co., Ltd. | Iran Tehran</w:t>
      </w:r>
      <w:r>
        <w:br/>
      </w:r>
      <w:r>
        <w:t xml:space="preserve">This document is the property of TMBSC. Unauthorized reproduction or distribution is prohibited under Iranian law.</w:t>
      </w:r>
      <w:r>
        <w:br/>
      </w:r>
      <w:r>
        <w:t xml:space="preserve">Page 1 of 1 | Generated: 15 Farvardin 1404 / April 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Solutions - Iran Tehran</dc:title>
  <dc:creator/>
  <dc:language>en</dc:language>
  <cp:keywords/>
  <dcterms:created xsi:type="dcterms:W3CDTF">2026-10-10T02:34:49Z</dcterms:created>
  <dcterms:modified xsi:type="dcterms:W3CDTF">2026-10-10T02:34:49Z</dcterms:modified>
</cp:coreProperties>
</file>

<file path=docProps/custom.xml><?xml version="1.0" encoding="utf-8"?>
<Properties xmlns="http://schemas.openxmlformats.org/officeDocument/2006/custom-properties" xmlns:vt="http://schemas.openxmlformats.org/officeDocument/2006/docPropsVTypes"/>
</file>