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Equipment</w:t>
      </w:r>
      <w:r>
        <w:t xml:space="preserve"> </w:t>
      </w:r>
      <w:r>
        <w:t xml:space="preserve">and</w:t>
      </w:r>
      <w:r>
        <w:t xml:space="preserve"> </w:t>
      </w:r>
      <w:r>
        <w:t xml:space="preserve">Services</w:t>
      </w:r>
      <w:r>
        <w:t xml:space="preserve"> </w:t>
      </w:r>
      <w:r>
        <w:t xml:space="preserve">-</w:t>
      </w:r>
      <w:r>
        <w:t xml:space="preserve"> </w:t>
      </w:r>
      <w:r>
        <w:t xml:space="preserve">Japan</w:t>
      </w:r>
      <w:r>
        <w:t xml:space="preserve"> </w:t>
      </w:r>
      <w:r>
        <w:t xml:space="preserve">Kyoto</w:t>
      </w:r>
    </w:p>
    <w:bookmarkStart w:id="27" w:name="purchase-order"/>
    <w:p>
      <w:pPr>
        <w:pStyle w:val="Heading1"/>
      </w:pPr>
      <w:r>
        <w:t xml:space="preserve">PURCHASE ORDER</w:t>
      </w:r>
    </w:p>
    <w:p>
      <w:pPr>
        <w:pStyle w:val="FirstParagraph"/>
      </w:pPr>
      <w:r>
        <w:rPr>
          <w:bCs/>
          <w:b/>
        </w:rPr>
        <w:t xml:space="preserve">Banker Equipment, Systems, and Professional Services</w:t>
      </w:r>
      <w:r>
        <w:br/>
      </w:r>
      <w:r>
        <w:rPr>
          <w:bCs/>
          <w:b/>
        </w:rPr>
        <w:t xml:space="preserve">Destination: Japan, Kyoto Prefecture</w:t>
      </w:r>
    </w:p>
    <w:p>
      <w:pPr>
        <w:pStyle w:val="BodyText"/>
      </w:pPr>
      <w:r>
        <w:rPr>
          <w:bCs/>
          <w:b/>
        </w:rPr>
        <w:t xml:space="preserve">Purchase Order No.:</w:t>
      </w:r>
      <w:r>
        <w:t xml:space="preserve"> </w:t>
      </w:r>
      <w:r>
        <w:t xml:space="preserve">PO-KYO-2025-04871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45 Days from Delivery</w:t>
      </w:r>
    </w:p>
    <w:p>
      <w:pPr>
        <w:pStyle w:val="BodyText"/>
      </w:pPr>
      <w:r>
        <w:rPr>
          <w:bCs/>
          <w:b/>
        </w:rPr>
        <w:t xml:space="preserve">Buyer:</w:t>
      </w:r>
      <w:r>
        <w:t xml:space="preserve"> </w:t>
      </w:r>
      <w:r>
        <w:t xml:space="preserve">Kyoto Metropolitan Financial Infrastructure Authority</w:t>
      </w:r>
    </w:p>
    <w:p>
      <w:pPr>
        <w:pStyle w:val="BodyText"/>
      </w:pPr>
      <w:r>
        <w:rPr>
          <w:bCs/>
          <w:b/>
        </w:rPr>
        <w:t xml:space="preserve">Address:</w:t>
      </w:r>
      <w:r>
        <w:t xml:space="preserve"> </w:t>
      </w:r>
      <w:r>
        <w:t xml:space="preserve">1-1-1 Higashiyama-ku, Kyoto 600-8216, Japan</w:t>
      </w:r>
    </w:p>
    <w:p>
      <w:pPr>
        <w:pStyle w:val="BodyText"/>
      </w:pPr>
      <w:r>
        <w:rPr>
          <w:bCs/>
          <w:b/>
        </w:rPr>
        <w:t xml:space="preserve">Contact:</w:t>
      </w:r>
      <w:r>
        <w:t xml:space="preserve"> </w:t>
      </w:r>
      <w:r>
        <w:t xml:space="preserve">Mr. Takeda Hiroshi, Procurement Director</w:t>
      </w:r>
    </w:p>
    <w:p>
      <w:pPr>
        <w:pStyle w:val="BodyText"/>
      </w:pPr>
      <w:r>
        <w:rPr>
          <w:bCs/>
          <w:b/>
        </w:rPr>
        <w:t xml:space="preserve">Email:</w:t>
      </w:r>
      <w:r>
        <w:t xml:space="preserve"> </w:t>
      </w:r>
      <w:r>
        <w:t xml:space="preserve">procurement@kyoto-fin-infra.go.jp</w:t>
      </w:r>
    </w:p>
    <w:bookmarkStart w:id="20" w:name="supplier-vendor-information"/>
    <w:p>
      <w:pPr>
        <w:pStyle w:val="Heading2"/>
      </w:pPr>
      <w:r>
        <w:t xml:space="preserve">1. Supplier / Vendor Information</w:t>
      </w:r>
    </w:p>
    <w:p>
      <w:pPr>
        <w:pStyle w:val="FirstParagraph"/>
      </w:pPr>
      <w:r>
        <w:rPr>
          <w:bCs/>
          <w:b/>
        </w:rPr>
        <w:t xml:space="preserve">Vendor Name:</w:t>
      </w:r>
      <w:r>
        <w:t xml:space="preserve"> </w:t>
      </w:r>
      <w:r>
        <w:t xml:space="preserve">Global Banker Solutions International Co., Ltd.</w:t>
      </w:r>
    </w:p>
    <w:p>
      <w:pPr>
        <w:pStyle w:val="BodyText"/>
      </w:pPr>
      <w:r>
        <w:rPr>
          <w:bCs/>
          <w:b/>
        </w:rPr>
        <w:t xml:space="preserve">Vendor Address:</w:t>
      </w:r>
      <w:r>
        <w:t xml:space="preserve"> </w:t>
      </w:r>
      <w:r>
        <w:t xml:space="preserve">42-8 Marunouchi, Chiyoda-ku, Tokyo 100-0005, Japan</w:t>
      </w:r>
    </w:p>
    <w:p>
      <w:pPr>
        <w:pStyle w:val="BodyText"/>
      </w:pPr>
      <w:r>
        <w:rPr>
          <w:bCs/>
          <w:b/>
        </w:rPr>
        <w:t xml:space="preserve">Vendor Contact:</w:t>
      </w:r>
      <w:r>
        <w:t xml:space="preserve"> </w:t>
      </w:r>
      <w:r>
        <w:t xml:space="preserve">Ms. Yamamoto Keiko, Regional Sales Manager – Kansai Division</w:t>
      </w:r>
    </w:p>
    <w:p>
      <w:pPr>
        <w:pStyle w:val="BodyText"/>
      </w:pPr>
      <w:r>
        <w:rPr>
          <w:bCs/>
          <w:b/>
        </w:rPr>
        <w:t xml:space="preserve">Vendor Phone:</w:t>
      </w:r>
      <w:r>
        <w:t xml:space="preserve"> </w:t>
      </w:r>
      <w:r>
        <w:t xml:space="preserve">+81-3-5555-7821</w:t>
      </w:r>
    </w:p>
    <w:p>
      <w:pPr>
        <w:pStyle w:val="BodyText"/>
      </w:pPr>
      <w:r>
        <w:rPr>
          <w:bCs/>
          <w:b/>
        </w:rPr>
        <w:t xml:space="preserve">Vendor Email:</w:t>
      </w:r>
      <w:r>
        <w:t xml:space="preserve"> </w:t>
      </w:r>
      <w:r>
        <w:t xml:space="preserve">k.yamamoto@globalbankersol.com</w:t>
      </w:r>
    </w:p>
    <w:p>
      <w:pPr>
        <w:pStyle w:val="BodyText"/>
      </w:pPr>
      <w:r>
        <w:rPr>
          <w:bCs/>
          <w:b/>
        </w:rPr>
        <w:t xml:space="preserve">Vendor Tax ID (Tōhyō-bangō):</w:t>
      </w:r>
      <w:r>
        <w:t xml:space="preserve"> </w:t>
      </w:r>
      <w:r>
        <w:t xml:space="preserve">40-2080-01234-56-78</w:t>
      </w:r>
    </w:p>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Kyoto Metropolitan Financial Infrastructure Authority (hereinafter referred to as "the Buyer") to Global Banker Solutions International Co., Ltd. (hereinafter referred to as "the Vendor") for the procurement, delivery, installation, and commissioning of comprehensive</w:t>
      </w:r>
      <w:r>
        <w:t xml:space="preserve"> </w:t>
      </w:r>
      <w:r>
        <w:rPr>
          <w:bCs/>
          <w:b/>
        </w:rPr>
        <w:t xml:space="preserve">Banker</w:t>
      </w:r>
      <w:r>
        <w:t xml:space="preserve"> </w:t>
      </w:r>
      <w:r>
        <w:t xml:space="preserve">equipment, secure cash-handling systems, digital banking terminals, and associated professional services. All goods and services specified herein are to be delivered, installed, and made fully operational at the Buyer's designated facility located in</w:t>
      </w:r>
      <w:r>
        <w:t xml:space="preserve"> </w:t>
      </w:r>
      <w:r>
        <w:rPr>
          <w:bCs/>
          <w:b/>
        </w:rPr>
        <w:t xml:space="preserve">Japan, Kyoto</w:t>
      </w:r>
      <w:r>
        <w:t xml:space="preserve">, specifically at the Kyoto Central Financial Operations Center, 1-1-1 Higashiyama-ku, Kyoto 600-8216, Japan.</w:t>
      </w:r>
    </w:p>
    <w:p>
      <w:pPr>
        <w:pStyle w:val="BodyText"/>
      </w:pPr>
      <w:r>
        <w:t xml:space="preserve">The</w:t>
      </w:r>
      <w:r>
        <w:t xml:space="preserve"> </w:t>
      </w:r>
      <w:r>
        <w:rPr>
          <w:bCs/>
          <w:b/>
        </w:rPr>
        <w:t xml:space="preserve">Banker</w:t>
      </w:r>
      <w:r>
        <w:t xml:space="preserve"> </w:t>
      </w:r>
      <w:r>
        <w:t xml:space="preserve">systems procured under this Purchase Order are intended to support the daily operational requirements of the Kyoto metropolitan banking and financial services network, including but not limited to secure cash management, automated teller operations, interbank transaction processing, and regulatory compliance reporting as mandated by the Bank of Japan and the Financial Services Agency of Japan. The Vendor acknowledges that all</w:t>
      </w:r>
      <w:r>
        <w:t xml:space="preserve"> </w:t>
      </w:r>
      <w:r>
        <w:rPr>
          <w:bCs/>
          <w:b/>
        </w:rPr>
        <w:t xml:space="preserve">Banker</w:t>
      </w:r>
      <w:r>
        <w:t xml:space="preserve"> </w:t>
      </w:r>
      <w:r>
        <w:t xml:space="preserve">equipment must meet the stringent security, durability, and performance standards applicable to financial infrastructure in</w:t>
      </w:r>
      <w:r>
        <w:t xml:space="preserve"> </w:t>
      </w:r>
      <w:r>
        <w:rPr>
          <w:bCs/>
          <w:b/>
        </w:rPr>
        <w:t xml:space="preserve">Japan, Kyoto</w:t>
      </w:r>
      <w:r>
        <w:t xml:space="preserve">, and must be fully compliant with Japanese Industrial Standards (JIS) and the Personal Information Protection Act (PIPA) of Japan.</w:t>
      </w:r>
    </w:p>
    <w:bookmarkEnd w:id="21"/>
    <w:bookmarkStart w:id="22" w:name="itemized-list-of-goods-and-services"/>
    <w:p>
      <w:pPr>
        <w:pStyle w:val="Heading2"/>
      </w:pPr>
      <w:r>
        <w:t xml:space="preserve">3. Itemized List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Price (JPY)</w:t>
            </w:r>
          </w:p>
        </w:tc>
      </w:tr>
      <w:tr>
        <w:tc>
          <w:tcPr/>
          <w:p>
            <w:pPr>
              <w:pStyle w:val="Compact"/>
              <w:jc w:val="left"/>
            </w:pPr>
            <w:r>
              <w:t xml:space="preserve">01</w:t>
            </w:r>
          </w:p>
        </w:tc>
        <w:tc>
          <w:tcPr/>
          <w:p>
            <w:pPr>
              <w:pStyle w:val="Compact"/>
              <w:jc w:val="left"/>
            </w:pPr>
            <w:r>
              <w:t xml:space="preserve">Banker Secure Cash Handling Vault System (Model BK-V7200), rated for Class 2 seismic resistance per Kyoto building codes, including biometric access control and 24-hour remote monitoring integration</w:t>
            </w:r>
          </w:p>
        </w:tc>
        <w:tc>
          <w:tcPr/>
          <w:p>
            <w:pPr>
              <w:pStyle w:val="Compact"/>
              <w:jc w:val="left"/>
            </w:pPr>
            <w:r>
              <w:t xml:space="preserve">4</w:t>
            </w:r>
          </w:p>
        </w:tc>
        <w:tc>
          <w:tcPr/>
          <w:p>
            <w:pPr>
              <w:pStyle w:val="Compact"/>
              <w:jc w:val="left"/>
            </w:pPr>
            <w:r>
              <w:t xml:space="preserve">Set</w:t>
            </w:r>
          </w:p>
        </w:tc>
        <w:tc>
          <w:tcPr/>
          <w:p>
            <w:pPr>
              <w:pStyle w:val="Compact"/>
              <w:jc w:val="left"/>
            </w:pPr>
            <w:r>
              <w:t xml:space="preserve">12,800,000</w:t>
            </w:r>
          </w:p>
        </w:tc>
        <w:tc>
          <w:tcPr/>
          <w:p>
            <w:pPr>
              <w:pStyle w:val="Compact"/>
              <w:jc w:val="left"/>
            </w:pPr>
            <w:r>
              <w:t xml:space="preserve">51,200,000</w:t>
            </w:r>
          </w:p>
        </w:tc>
      </w:tr>
      <w:tr>
        <w:tc>
          <w:tcPr/>
          <w:p>
            <w:pPr>
              <w:pStyle w:val="Compact"/>
              <w:jc w:val="left"/>
            </w:pPr>
            <w:r>
              <w:t xml:space="preserve">02</w:t>
            </w:r>
          </w:p>
        </w:tc>
        <w:tc>
          <w:tcPr/>
          <w:p>
            <w:pPr>
              <w:pStyle w:val="Compact"/>
              <w:jc w:val="left"/>
            </w:pPr>
            <w:r>
              <w:t xml:space="preserve">Banker Automated Teller Terminal (Model BK-ATM-550), multi-currency capable, with Japanese-language interface, JIS-compliant card reader, and integrated cash recycler for 5,000 and 10,000 yen notes</w:t>
            </w:r>
          </w:p>
        </w:tc>
        <w:tc>
          <w:tcPr/>
          <w:p>
            <w:pPr>
              <w:pStyle w:val="Compact"/>
              <w:jc w:val="left"/>
            </w:pPr>
            <w:r>
              <w:t xml:space="preserve">12</w:t>
            </w:r>
          </w:p>
        </w:tc>
        <w:tc>
          <w:tcPr/>
          <w:p>
            <w:pPr>
              <w:pStyle w:val="Compact"/>
              <w:jc w:val="left"/>
            </w:pPr>
            <w:r>
              <w:t xml:space="preserve">Unit</w:t>
            </w:r>
          </w:p>
        </w:tc>
        <w:tc>
          <w:tcPr/>
          <w:p>
            <w:pPr>
              <w:pStyle w:val="Compact"/>
              <w:jc w:val="left"/>
            </w:pPr>
            <w:r>
              <w:t xml:space="preserve">3,450,000</w:t>
            </w:r>
          </w:p>
        </w:tc>
        <w:tc>
          <w:tcPr/>
          <w:p>
            <w:pPr>
              <w:pStyle w:val="Compact"/>
              <w:jc w:val="left"/>
            </w:pPr>
            <w:r>
              <w:t xml:space="preserve">41,400,000</w:t>
            </w:r>
          </w:p>
        </w:tc>
      </w:tr>
      <w:tr>
        <w:tc>
          <w:tcPr/>
          <w:p>
            <w:pPr>
              <w:pStyle w:val="Compact"/>
              <w:jc w:val="left"/>
            </w:pPr>
            <w:r>
              <w:t xml:space="preserve">03</w:t>
            </w:r>
          </w:p>
        </w:tc>
        <w:tc>
          <w:tcPr/>
          <w:p>
            <w:pPr>
              <w:pStyle w:val="Compact"/>
              <w:jc w:val="left"/>
            </w:pPr>
            <w:r>
              <w:t xml:space="preserve">Banker Interbank Transaction Processing Server (Model BK-IPS-900), rack-mounted, with redundant power supply, encrypted data channels compliant with Bank of Japan interbank messaging protocols</w:t>
            </w:r>
          </w:p>
        </w:tc>
        <w:tc>
          <w:tcPr/>
          <w:p>
            <w:pPr>
              <w:pStyle w:val="Compact"/>
              <w:jc w:val="left"/>
            </w:pPr>
            <w:r>
              <w:t xml:space="preserve">6</w:t>
            </w:r>
          </w:p>
        </w:tc>
        <w:tc>
          <w:tcPr/>
          <w:p>
            <w:pPr>
              <w:pStyle w:val="Compact"/>
              <w:jc w:val="left"/>
            </w:pPr>
            <w:r>
              <w:t xml:space="preserve">Unit</w:t>
            </w:r>
          </w:p>
        </w:tc>
        <w:tc>
          <w:tcPr/>
          <w:p>
            <w:pPr>
              <w:pStyle w:val="Compact"/>
              <w:jc w:val="left"/>
            </w:pPr>
            <w:r>
              <w:t xml:space="preserve">5,200,000</w:t>
            </w:r>
          </w:p>
        </w:tc>
        <w:tc>
          <w:tcPr/>
          <w:p>
            <w:pPr>
              <w:pStyle w:val="Compact"/>
              <w:jc w:val="left"/>
            </w:pPr>
            <w:r>
              <w:t xml:space="preserve">31,200,000</w:t>
            </w:r>
          </w:p>
        </w:tc>
      </w:tr>
      <w:tr>
        <w:tc>
          <w:tcPr/>
          <w:p>
            <w:pPr>
              <w:pStyle w:val="Compact"/>
              <w:jc w:val="left"/>
            </w:pPr>
            <w:r>
              <w:t xml:space="preserve">04</w:t>
            </w:r>
          </w:p>
        </w:tc>
        <w:tc>
          <w:tcPr/>
          <w:p>
            <w:pPr>
              <w:pStyle w:val="Compact"/>
              <w:jc w:val="left"/>
            </w:pPr>
            <w:r>
              <w:t xml:space="preserve">Banker Digital Banking Kiosk (Model BK-KIOSK-300), touchscreen interface with Japanese and English language support, designed for public-facing financial services at the Kyoto Central Financial Operations Center</w:t>
            </w:r>
          </w:p>
        </w:tc>
        <w:tc>
          <w:tcPr/>
          <w:p>
            <w:pPr>
              <w:pStyle w:val="Compact"/>
              <w:jc w:val="left"/>
            </w:pPr>
            <w:r>
              <w:t xml:space="preserve">8</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14,800,000</w:t>
            </w:r>
          </w:p>
        </w:tc>
      </w:tr>
      <w:tr>
        <w:tc>
          <w:tcPr/>
          <w:p>
            <w:pPr>
              <w:pStyle w:val="Compact"/>
              <w:jc w:val="left"/>
            </w:pPr>
            <w:r>
              <w:t xml:space="preserve">05</w:t>
            </w:r>
          </w:p>
        </w:tc>
        <w:tc>
          <w:tcPr/>
          <w:p>
            <w:pPr>
              <w:pStyle w:val="Compact"/>
              <w:jc w:val="left"/>
            </w:pPr>
            <w:r>
              <w:t xml:space="preserve">Banker Secure Network Infrastructure Package (Model BK-NET-400), including firewalls, intrusion detection systems, and encrypted communication modules for the Kyoto facility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8,600,000</w:t>
            </w:r>
          </w:p>
        </w:tc>
        <w:tc>
          <w:tcPr/>
          <w:p>
            <w:pPr>
              <w:pStyle w:val="Compact"/>
              <w:jc w:val="left"/>
            </w:pPr>
            <w:r>
              <w:t xml:space="preserve">8,600,000</w:t>
            </w:r>
          </w:p>
        </w:tc>
      </w:tr>
      <w:tr>
        <w:tc>
          <w:tcPr/>
          <w:p>
            <w:pPr>
              <w:pStyle w:val="Compact"/>
              <w:jc w:val="left"/>
            </w:pPr>
            <w:r>
              <w:t xml:space="preserve">06</w:t>
            </w:r>
          </w:p>
        </w:tc>
        <w:tc>
          <w:tcPr/>
          <w:p>
            <w:pPr>
              <w:pStyle w:val="Compact"/>
              <w:jc w:val="left"/>
            </w:pPr>
            <w:r>
              <w:t xml:space="preserve">Professional Installation and Commissioning Services for all Banker equipment at the Kyoto, Japan site, including structural modifications, electrical wiring, network cabling, and system integration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07</w:t>
            </w:r>
          </w:p>
        </w:tc>
        <w:tc>
          <w:tcPr/>
          <w:p>
            <w:pPr>
              <w:pStyle w:val="Compact"/>
              <w:jc w:val="left"/>
            </w:pPr>
            <w:r>
              <w:t xml:space="preserve">Banker Operator Training Program – 5-day intensive course for 20 staff members at the Kyoto facility, covering all Banker systems, emergency procedures, and regulatory compliance protocols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08</w:t>
            </w:r>
          </w:p>
        </w:tc>
        <w:tc>
          <w:tcPr/>
          <w:p>
            <w:pPr>
              <w:pStyle w:val="Compact"/>
              <w:jc w:val="left"/>
            </w:pPr>
            <w:r>
              <w:t xml:space="preserve">Annual Maintenance and Support Contract for all Banker equipment (3-year term), including on-site response within 4 hours for critical failures at the Kyoto location</w:t>
            </w:r>
          </w:p>
        </w:tc>
        <w:tc>
          <w:tcPr/>
          <w:p>
            <w:pPr>
              <w:pStyle w:val="Compact"/>
              <w:jc w:val="left"/>
            </w:pPr>
            <w:r>
              <w:t xml:space="preserve">3</w:t>
            </w:r>
          </w:p>
        </w:tc>
        <w:tc>
          <w:tcPr/>
          <w:p>
            <w:pPr>
              <w:pStyle w:val="Compact"/>
              <w:jc w:val="left"/>
            </w:pPr>
            <w:r>
              <w:t xml:space="preserve">Year</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09</w:t>
            </w:r>
          </w:p>
        </w:tc>
        <w:tc>
          <w:tcPr/>
          <w:p>
            <w:pPr>
              <w:pStyle w:val="Compact"/>
              <w:jc w:val="left"/>
            </w:pPr>
            <w:r>
              <w:t xml:space="preserve">Banker Regulatory Compliance Audit and Certification Services, ensuring all installed systems meet Bank of Japan and Financial Services Agency requirements for operations in Kyoto, Japan</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10</w:t>
            </w:r>
          </w:p>
        </w:tc>
        <w:tc>
          <w:tcPr/>
          <w:p>
            <w:pPr>
              <w:pStyle w:val="Compact"/>
              <w:jc w:val="left"/>
            </w:pPr>
            <w:r>
              <w:t xml:space="preserve">Spare Parts and Consumables Kit for all Banker equipment (2-year supply), including cash cassettes, card reader modules, printer components, and security seals</w:t>
            </w:r>
          </w:p>
        </w:tc>
        <w:tc>
          <w:tcPr/>
          <w:p>
            <w:pPr>
              <w:pStyle w:val="Compact"/>
              <w:jc w:val="left"/>
            </w:pPr>
            <w:r>
              <w:t xml:space="preserve">1</w:t>
            </w:r>
          </w:p>
        </w:tc>
        <w:tc>
          <w:tcPr/>
          <w:p>
            <w:pPr>
              <w:pStyle w:val="Compact"/>
              <w:jc w:val="left"/>
            </w:pPr>
            <w:r>
              <w:t xml:space="preserve">Kit</w:t>
            </w:r>
          </w:p>
        </w:tc>
        <w:tc>
          <w:tcPr/>
          <w:p>
            <w:pPr>
              <w:pStyle w:val="Compact"/>
              <w:jc w:val="left"/>
            </w:pPr>
            <w:r>
              <w:t xml:space="preserve">2,100,000</w:t>
            </w:r>
          </w:p>
        </w:tc>
        <w:tc>
          <w:tcPr/>
          <w:p>
            <w:pPr>
              <w:pStyle w:val="Compact"/>
              <w:jc w:val="left"/>
            </w:pPr>
            <w:r>
              <w:t xml:space="preserve">2,100,000</w:t>
            </w:r>
          </w:p>
        </w:tc>
      </w:tr>
    </w:tbl>
    <w:bookmarkEnd w:id="22"/>
    <w:bookmarkStart w:id="23" w:name="pricing-summary"/>
    <w:p>
      <w:pPr>
        <w:pStyle w:val="Heading2"/>
      </w:pPr>
      <w:r>
        <w:t xml:space="preserve">4. Pricing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01–10)</w:t>
            </w:r>
          </w:p>
        </w:tc>
        <w:tc>
          <w:tcPr/>
          <w:p>
            <w:pPr>
              <w:pStyle w:val="Compact"/>
              <w:jc w:val="right"/>
            </w:pPr>
            <w:r>
              <w:t xml:space="preserve">169,600,000 JPY</w:t>
            </w:r>
          </w:p>
        </w:tc>
      </w:tr>
      <w:tr>
        <w:tc>
          <w:tcPr/>
          <w:p>
            <w:pPr>
              <w:pStyle w:val="Compact"/>
              <w:jc w:val="left"/>
            </w:pPr>
            <w:r>
              <w:t xml:space="preserve">Consumption Tax (10% – Japan National Tax)</w:t>
            </w:r>
          </w:p>
        </w:tc>
        <w:tc>
          <w:tcPr/>
          <w:p>
            <w:pPr>
              <w:pStyle w:val="Compact"/>
              <w:jc w:val="right"/>
            </w:pPr>
            <w:r>
              <w:t xml:space="preserve">16,960,000 JPY</w:t>
            </w:r>
          </w:p>
        </w:tc>
      </w:tr>
      <w:tr>
        <w:tc>
          <w:tcPr/>
          <w:p>
            <w:pPr>
              <w:pStyle w:val="Compact"/>
              <w:jc w:val="left"/>
            </w:pPr>
            <w:r>
              <w:t xml:space="preserve">Local Kyoto Prefecture Tax (2%)</w:t>
            </w:r>
          </w:p>
        </w:tc>
        <w:tc>
          <w:tcPr/>
          <w:p>
            <w:pPr>
              <w:pStyle w:val="Compact"/>
              <w:jc w:val="right"/>
            </w:pPr>
            <w:r>
              <w:t xml:space="preserve">3,392,000 JPY</w:t>
            </w:r>
          </w:p>
        </w:tc>
      </w:tr>
      <w:tr>
        <w:tc>
          <w:tcPr/>
          <w:p>
            <w:pPr>
              <w:pStyle w:val="Compact"/>
              <w:jc w:val="left"/>
            </w:pPr>
            <w:r>
              <w:rPr>
                <w:bCs/>
                <w:b/>
              </w:rPr>
              <w:t xml:space="preserve">Grand Total</w:t>
            </w:r>
          </w:p>
        </w:tc>
        <w:tc>
          <w:tcPr/>
          <w:p>
            <w:pPr>
              <w:pStyle w:val="Compact"/>
              <w:jc w:val="right"/>
            </w:pPr>
            <w:r>
              <w:rPr>
                <w:bCs/>
                <w:b/>
              </w:rPr>
              <w:t xml:space="preserve">189,952,000 JPY</w:t>
            </w:r>
          </w:p>
        </w:tc>
      </w:tr>
    </w:tbl>
    <w:p>
      <w:pPr>
        <w:pStyle w:val="BodyText"/>
      </w:pPr>
      <w:r>
        <w:t xml:space="preserve">All prices are quoted in Japanese Yen (JPY) and are inclusive of delivery to the Kyoto, Japan site. Prices are fixed for the duration of this Purchase Order and shall not be subject to escalation.</w:t>
      </w:r>
    </w:p>
    <w:bookmarkEnd w:id="23"/>
    <w:bookmarkStart w:id="24" w:name="delivery-and-installation-schedule"/>
    <w:p>
      <w:pPr>
        <w:pStyle w:val="Heading2"/>
      </w:pPr>
      <w:r>
        <w:t xml:space="preserve">5. Delivery and Installation Schedule</w:t>
      </w:r>
    </w:p>
    <w:p>
      <w:pPr>
        <w:pStyle w:val="FirstParagraph"/>
      </w:pPr>
      <w:r>
        <w:t xml:space="preserve">The Vendor shall deliver all</w:t>
      </w:r>
      <w:r>
        <w:t xml:space="preserve"> </w:t>
      </w:r>
      <w:r>
        <w:rPr>
          <w:bCs/>
          <w:b/>
        </w:rPr>
        <w:t xml:space="preserve">Banker</w:t>
      </w:r>
      <w:r>
        <w:t xml:space="preserve"> </w:t>
      </w:r>
      <w:r>
        <w:t xml:space="preserve">equipment to the designated facility in</w:t>
      </w:r>
      <w:r>
        <w:t xml:space="preserve"> </w:t>
      </w:r>
      <w:r>
        <w:rPr>
          <w:bCs/>
          <w:b/>
        </w:rPr>
        <w:t xml:space="preserve">Japan, Kyoto</w:t>
      </w:r>
      <w:r>
        <w:t xml:space="preserve"> </w:t>
      </w:r>
      <w:r>
        <w:t xml:space="preserve">no later than</w:t>
      </w:r>
      <w:r>
        <w:t xml:space="preserve"> </w:t>
      </w:r>
      <w:r>
        <w:rPr>
          <w:bCs/>
          <w:b/>
        </w:rPr>
        <w:t xml:space="preserve">15 August 2025</w:t>
      </w:r>
      <w:r>
        <w:t xml:space="preserve">. Installation and commissioning of all systems shall be completed by</w:t>
      </w:r>
      <w:r>
        <w:t xml:space="preserve"> </w:t>
      </w:r>
      <w:r>
        <w:rPr>
          <w:bCs/>
          <w:b/>
        </w:rPr>
        <w:t xml:space="preserve">30 August 2025</w:t>
      </w:r>
      <w:r>
        <w:t xml:space="preserve">. The operator training program shall be conducted between</w:t>
      </w:r>
      <w:r>
        <w:t xml:space="preserve"> </w:t>
      </w:r>
      <w:r>
        <w:rPr>
          <w:bCs/>
          <w:b/>
        </w:rPr>
        <w:t xml:space="preserve">1 September 2025</w:t>
      </w:r>
      <w:r>
        <w:t xml:space="preserve"> </w:t>
      </w:r>
      <w:r>
        <w:t xml:space="preserve">and</w:t>
      </w:r>
      <w:r>
        <w:t xml:space="preserve"> </w:t>
      </w:r>
      <w:r>
        <w:rPr>
          <w:bCs/>
          <w:b/>
        </w:rPr>
        <w:t xml:space="preserve">5 September 2025</w:t>
      </w:r>
      <w:r>
        <w:t xml:space="preserve"> </w:t>
      </w:r>
      <w:r>
        <w:t xml:space="preserve">at the Kyoto site. The regulatory compliance audit shall be performed within 10 business days following the completion of installation. The Vendor shall provide a written progress report to the Buyer every Friday during the delivery and installation period.</w:t>
      </w:r>
    </w:p>
    <w:bookmarkEnd w:id="24"/>
    <w:bookmarkStart w:id="25" w:name="terms-and-conditions"/>
    <w:p>
      <w:pPr>
        <w:pStyle w:val="Heading2"/>
      </w:pPr>
      <w:r>
        <w:t xml:space="preserve">6. Terms and Conditions</w:t>
      </w:r>
    </w:p>
    <w:p>
      <w:pPr>
        <w:pStyle w:val="FirstParagraph"/>
      </w:pPr>
      <w:r>
        <w:t xml:space="preserve">6.1 This Purchase Order is governed by the laws of Japan. Any disputes arising from this Purchase Order shall be resolved through arbitration in Kyoto, Japan, in accordance with the rules of the Japan Commercial Arbitration Association.</w:t>
      </w:r>
    </w:p>
    <w:p>
      <w:pPr>
        <w:pStyle w:val="BodyText"/>
      </w:pPr>
      <w:r>
        <w:t xml:space="preserve">6.2 The Vendor warrants that all</w:t>
      </w:r>
      <w:r>
        <w:t xml:space="preserve"> </w:t>
      </w:r>
      <w:r>
        <w:rPr>
          <w:bCs/>
          <w:b/>
        </w:rPr>
        <w:t xml:space="preserve">Banker</w:t>
      </w:r>
      <w:r>
        <w:t xml:space="preserve"> </w:t>
      </w:r>
      <w:r>
        <w:t xml:space="preserve">equipment supplied under this Purchase Order shall be new, unused, and free from defects in materials and workmanship for a period of no less than 24 months from the date of commissioning at the Kyoto facility.</w:t>
      </w:r>
    </w:p>
    <w:p>
      <w:pPr>
        <w:pStyle w:val="BodyText"/>
      </w:pPr>
      <w:r>
        <w:t xml:space="preserve">6.3 The Vendor shall maintain adequate insurance coverage, including cargo insurance for transit to</w:t>
      </w:r>
      <w:r>
        <w:t xml:space="preserve"> </w:t>
      </w:r>
      <w:r>
        <w:rPr>
          <w:bCs/>
          <w:b/>
        </w:rPr>
        <w:t xml:space="preserve">Japan, Kyoto</w:t>
      </w:r>
      <w:r>
        <w:t xml:space="preserve">, and liability insurance for installation activities, throughout the duration of this Purchase Order.</w:t>
      </w:r>
    </w:p>
    <w:p>
      <w:pPr>
        <w:pStyle w:val="BodyText"/>
      </w:pPr>
      <w:r>
        <w:t xml:space="preserve">6.4 The Buyer reserves the right to inspect and test all</w:t>
      </w:r>
      <w:r>
        <w:t xml:space="preserve"> </w:t>
      </w:r>
      <w:r>
        <w:rPr>
          <w:bCs/>
          <w:b/>
        </w:rPr>
        <w:t xml:space="preserve">Banker</w:t>
      </w:r>
      <w:r>
        <w:t xml:space="preserve"> </w:t>
      </w:r>
      <w:r>
        <w:t xml:space="preserve">equipment upon arrival at the Kyoto site. Any equipment found to be damaged, defective, or non-conforming to the specifications outlined in this Purchase Order shall be replaced at the Vendor's sole expense within 14 business days.</w:t>
      </w:r>
    </w:p>
    <w:p>
      <w:pPr>
        <w:pStyle w:val="BodyText"/>
      </w:pPr>
      <w:r>
        <w:t xml:space="preserve">6.5 The Vendor shall comply with all applicable Japanese labor laws, environmental regulations, and building codes in the city of Kyoto, Japan, during the installation and commissioning phases.</w:t>
      </w:r>
    </w:p>
    <w:p>
      <w:pPr>
        <w:pStyle w:val="BodyText"/>
      </w:pPr>
      <w:r>
        <w:t xml:space="preserve">6.6 Confidentiality: All information exchanged under this Purchase Order, including system configurations, security protocols, and operational data related to the</w:t>
      </w:r>
      <w:r>
        <w:t xml:space="preserve"> </w:t>
      </w:r>
      <w:r>
        <w:rPr>
          <w:bCs/>
          <w:b/>
        </w:rPr>
        <w:t xml:space="preserve">Banker</w:t>
      </w:r>
      <w:r>
        <w:t xml:space="preserve"> </w:t>
      </w:r>
      <w:r>
        <w:t xml:space="preserve">systems in Kyoto, Japan, shall be treated as strictly confidential by both parties.</w:t>
      </w:r>
    </w:p>
    <w:bookmarkEnd w:id="25"/>
    <w:bookmarkStart w:id="26" w:name="acceptance-and-authorization"/>
    <w:p>
      <w:pPr>
        <w:pStyle w:val="Heading2"/>
      </w:pPr>
      <w:r>
        <w:t xml:space="preserve">7. Acceptance and Authorization</w:t>
      </w:r>
    </w:p>
    <w:p>
      <w:pPr>
        <w:pStyle w:val="FirstParagraph"/>
      </w:pPr>
      <w:r>
        <w:t xml:space="preserve">This Purchase Order is hereby issued and authorized by the undersigned on behalf of the Kyoto Metropolitan Financial Infrastructure Authority. The Vendor's acceptance of this Purchase Order shall be confirmed in writing within 10 business days of the date of issue.</w:t>
      </w:r>
    </w:p>
    <w:p>
      <w:pPr>
        <w:pStyle w:val="BodyText"/>
      </w:pPr>
      <w:r>
        <w:rPr>
          <w:bCs/>
          <w:b/>
        </w:rPr>
        <w:t xml:space="preserve">For and on behalf of the Buyer:</w:t>
      </w:r>
    </w:p>
    <w:p>
      <w:pPr>
        <w:pStyle w:val="BodyText"/>
      </w:pPr>
      <w:r>
        <w:t xml:space="preserve">_______________________________</w:t>
      </w:r>
    </w:p>
    <w:p>
      <w:pPr>
        <w:pStyle w:val="BodyText"/>
      </w:pPr>
      <w:r>
        <w:t xml:space="preserve">Mr. Takeda Hiroshi</w:t>
      </w:r>
      <w:r>
        <w:br/>
      </w:r>
      <w:r>
        <w:t xml:space="preserve">Procurement Director</w:t>
      </w:r>
      <w:r>
        <w:br/>
      </w:r>
      <w:r>
        <w:t xml:space="preserve">Kyoto Metropolitan Financial Infrastructure Authority</w:t>
      </w:r>
      <w:r>
        <w:br/>
      </w:r>
      <w:r>
        <w:t xml:space="preserve">Date: _______________</w:t>
      </w:r>
    </w:p>
    <w:p>
      <w:pPr>
        <w:pStyle w:val="BodyText"/>
      </w:pPr>
      <w:r>
        <w:rPr>
          <w:bCs/>
          <w:b/>
        </w:rPr>
        <w:t xml:space="preserve">For and on behalf of the Vendor:</w:t>
      </w:r>
    </w:p>
    <w:p>
      <w:pPr>
        <w:pStyle w:val="BodyText"/>
      </w:pPr>
      <w:r>
        <w:t xml:space="preserve">_______________________________</w:t>
      </w:r>
    </w:p>
    <w:p>
      <w:pPr>
        <w:pStyle w:val="BodyText"/>
      </w:pPr>
      <w:r>
        <w:t xml:space="preserve">Ms. Yamamoto Keiko</w:t>
      </w:r>
      <w:r>
        <w:br/>
      </w:r>
      <w:r>
        <w:t xml:space="preserve">Regional Sales Manager – Kansai Division</w:t>
      </w:r>
      <w:r>
        <w:br/>
      </w:r>
      <w:r>
        <w:t xml:space="preserve">Global Banker Solutions International Co., Ltd.</w:t>
      </w:r>
      <w:r>
        <w:br/>
      </w:r>
      <w:r>
        <w:t xml:space="preserve">Date: _______________</w:t>
      </w:r>
    </w:p>
    <w:p>
      <w:pPr>
        <w:pStyle w:val="BodyText"/>
      </w:pPr>
      <w:r>
        <w:t xml:space="preserve">— End of Purchase Order PO-KYO-2025-04871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Equipment and Services - Japan Kyoto</dc:title>
  <dc:creator/>
  <dc:language>en</dc:language>
  <cp:keywords/>
  <dcterms:created xsi:type="dcterms:W3CDTF">2026-10-10T07:05:38Z</dcterms:created>
  <dcterms:modified xsi:type="dcterms:W3CDTF">2026-10-10T07:05:38Z</dcterms:modified>
</cp:coreProperties>
</file>

<file path=docProps/custom.xml><?xml version="1.0" encoding="utf-8"?>
<Properties xmlns="http://schemas.openxmlformats.org/officeDocument/2006/custom-properties" xmlns:vt="http://schemas.openxmlformats.org/officeDocument/2006/docPropsVTypes"/>
</file>