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System</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Document Reference: PO-JT-2025-004872</w:t>
      </w:r>
    </w:p>
    <w:p>
      <w:pPr>
        <w:pStyle w:val="BodyText"/>
      </w:pPr>
      <w:r>
        <w:t xml:space="preserve">Issued for Use in Japan Tokyo</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PO-JT-2025-004872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15, 2025</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Governing Jurisdiction:</w:t>
            </w:r>
          </w:p>
        </w:tc>
        <w:tc>
          <w:tcPr/>
          <w:p>
            <w:pPr>
              <w:pStyle w:val="Compact"/>
              <w:jc w:val="left"/>
            </w:pPr>
            <w:r>
              <w:t xml:space="preserve">Japan Tokyo, Japan</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t xml:space="preserve">Tokyo Metropolitan Financial Services Authority</w:t>
      </w:r>
    </w:p>
    <w:p>
      <w:pPr>
        <w:pStyle w:val="BodyText"/>
      </w:pPr>
      <w:r>
        <w:t xml:space="preserve">Address: 1-2-3 Chiyoda, Tokyo 100-0001, Japan Tokyo</w:t>
      </w:r>
    </w:p>
    <w:p>
      <w:pPr>
        <w:pStyle w:val="BodyText"/>
      </w:pPr>
      <w:r>
        <w:t xml:space="preserve">Contact: Procurement Division, Attn: Mr. Kenji Tanaka</w:t>
      </w:r>
    </w:p>
    <w:p>
      <w:pPr>
        <w:pStyle w:val="BodyText"/>
      </w:pPr>
      <w:r>
        <w:t xml:space="preserve">Telephone: +81-3-5555-0142 | Email: procurement@tmfsa.jp</w:t>
      </w:r>
    </w:p>
    <w:bookmarkEnd w:id="22"/>
    <w:bookmarkStart w:id="23" w:name="seller-supplier"/>
    <w:p>
      <w:pPr>
        <w:pStyle w:val="Heading3"/>
      </w:pPr>
      <w:r>
        <w:t xml:space="preserve">Seller (Supplier):</w:t>
      </w:r>
    </w:p>
    <w:p>
      <w:pPr>
        <w:pStyle w:val="FirstParagraph"/>
      </w:pPr>
      <w:r>
        <w:t xml:space="preserve">Banker Global Systems Corporation</w:t>
      </w:r>
    </w:p>
    <w:p>
      <w:pPr>
        <w:pStyle w:val="BodyText"/>
      </w:pPr>
      <w:r>
        <w:t xml:space="preserve">Address: 45-67-89 Shinjuku, Tokyo 160-0022, Japan Tokyo</w:t>
      </w:r>
    </w:p>
    <w:p>
      <w:pPr>
        <w:pStyle w:val="BodyText"/>
      </w:pPr>
      <w:r>
        <w:t xml:space="preserve">Contact: Sales &amp; Distribution, Attn: Ms. Yuki Yamamoto</w:t>
      </w:r>
    </w:p>
    <w:p>
      <w:pPr>
        <w:pStyle w:val="BodyText"/>
      </w:pPr>
      <w:r>
        <w:t xml:space="preserve">Telephone: +81-3-5555-0298 | Email: sales@bankerglobal.co.jp</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for the acquisition of the</w:t>
      </w:r>
      <w:r>
        <w:t xml:space="preserve"> </w:t>
      </w:r>
      <w:r>
        <w:rPr>
          <w:bCs/>
          <w:b/>
        </w:rPr>
        <w:t xml:space="preserve">Banker</w:t>
      </w:r>
      <w:r>
        <w:t xml:space="preserve"> </w:t>
      </w:r>
      <w:r>
        <w:t xml:space="preserve">Integrated Banking Operations Platform, a comprehensive suite of hardware, software, and professional services designed for institutional banking operations. The</w:t>
      </w:r>
      <w:r>
        <w:t xml:space="preserve"> </w:t>
      </w:r>
      <w:r>
        <w:rPr>
          <w:bCs/>
          <w:b/>
        </w:rPr>
        <w:t xml:space="preserve">Banker</w:t>
      </w:r>
      <w:r>
        <w:t xml:space="preserve"> </w:t>
      </w:r>
      <w:r>
        <w:t xml:space="preserve">system shall be deployed, configured, and made fully operational within the designated facilities located in Japan Tokyo. The following items are specified under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001</w:t>
            </w:r>
          </w:p>
        </w:tc>
        <w:tc>
          <w:tcPr/>
          <w:p>
            <w:pPr>
              <w:pStyle w:val="Compact"/>
              <w:jc w:val="left"/>
            </w:pPr>
            <w:r>
              <w:t xml:space="preserve">Banker Core Banking Terminal (Model BT-9000) – Hardware Unit</w:t>
            </w:r>
          </w:p>
        </w:tc>
        <w:tc>
          <w:tcPr/>
          <w:p>
            <w:pPr>
              <w:pStyle w:val="Compact"/>
              <w:jc w:val="center"/>
            </w:pPr>
            <w:r>
              <w:t xml:space="preserve">24</w:t>
            </w:r>
          </w:p>
        </w:tc>
        <w:tc>
          <w:tcPr/>
          <w:p>
            <w:pPr>
              <w:pStyle w:val="Compact"/>
              <w:jc w:val="right"/>
            </w:pPr>
            <w:r>
              <w:t xml:space="preserve">1,850,000</w:t>
            </w:r>
          </w:p>
        </w:tc>
        <w:tc>
          <w:tcPr/>
          <w:p>
            <w:pPr>
              <w:pStyle w:val="Compact"/>
              <w:jc w:val="right"/>
            </w:pPr>
            <w:r>
              <w:t xml:space="preserve">44,400,000</w:t>
            </w:r>
          </w:p>
        </w:tc>
      </w:tr>
      <w:tr>
        <w:tc>
          <w:tcPr/>
          <w:p>
            <w:pPr>
              <w:pStyle w:val="Compact"/>
              <w:jc w:val="left"/>
            </w:pPr>
            <w:r>
              <w:t xml:space="preserve">002</w:t>
            </w:r>
          </w:p>
        </w:tc>
        <w:tc>
          <w:tcPr/>
          <w:p>
            <w:pPr>
              <w:pStyle w:val="Compact"/>
              <w:jc w:val="left"/>
            </w:pPr>
            <w:r>
              <w:t xml:space="preserve">Banker Software License – Enterprise Banking Suite (Perpetual)</w:t>
            </w:r>
          </w:p>
        </w:tc>
        <w:tc>
          <w:tcPr/>
          <w:p>
            <w:pPr>
              <w:pStyle w:val="Compact"/>
              <w:jc w:val="center"/>
            </w:pPr>
            <w:r>
              <w:t xml:space="preserve">24</w:t>
            </w:r>
          </w:p>
        </w:tc>
        <w:tc>
          <w:tcPr/>
          <w:p>
            <w:pPr>
              <w:pStyle w:val="Compact"/>
              <w:jc w:val="right"/>
            </w:pPr>
            <w:r>
              <w:t xml:space="preserve">3,200,000</w:t>
            </w:r>
          </w:p>
        </w:tc>
        <w:tc>
          <w:tcPr/>
          <w:p>
            <w:pPr>
              <w:pStyle w:val="Compact"/>
              <w:jc w:val="right"/>
            </w:pPr>
            <w:r>
              <w:t xml:space="preserve">76,800,000</w:t>
            </w:r>
          </w:p>
        </w:tc>
      </w:tr>
      <w:tr>
        <w:tc>
          <w:tcPr/>
          <w:p>
            <w:pPr>
              <w:pStyle w:val="Compact"/>
              <w:jc w:val="left"/>
            </w:pPr>
            <w:r>
              <w:t xml:space="preserve">003</w:t>
            </w:r>
          </w:p>
        </w:tc>
        <w:tc>
          <w:tcPr/>
          <w:p>
            <w:pPr>
              <w:pStyle w:val="Compact"/>
              <w:jc w:val="left"/>
            </w:pPr>
            <w:r>
              <w:t xml:space="preserve">Banker Security Module – Biometric Authentication Add-on</w:t>
            </w:r>
          </w:p>
        </w:tc>
        <w:tc>
          <w:tcPr/>
          <w:p>
            <w:pPr>
              <w:pStyle w:val="Compact"/>
              <w:jc w:val="center"/>
            </w:pPr>
            <w:r>
              <w:t xml:space="preserve">24</w:t>
            </w:r>
          </w:p>
        </w:tc>
        <w:tc>
          <w:tcPr/>
          <w:p>
            <w:pPr>
              <w:pStyle w:val="Compact"/>
              <w:jc w:val="right"/>
            </w:pPr>
            <w:r>
              <w:t xml:space="preserve">980,000</w:t>
            </w:r>
          </w:p>
        </w:tc>
        <w:tc>
          <w:tcPr/>
          <w:p>
            <w:pPr>
              <w:pStyle w:val="Compact"/>
              <w:jc w:val="right"/>
            </w:pPr>
            <w:r>
              <w:t xml:space="preserve">23,520,000</w:t>
            </w:r>
          </w:p>
        </w:tc>
      </w:tr>
      <w:tr>
        <w:tc>
          <w:tcPr/>
          <w:p>
            <w:pPr>
              <w:pStyle w:val="Compact"/>
              <w:jc w:val="left"/>
            </w:pPr>
            <w:r>
              <w:t xml:space="preserve">004</w:t>
            </w:r>
          </w:p>
        </w:tc>
        <w:tc>
          <w:tcPr/>
          <w:p>
            <w:pPr>
              <w:pStyle w:val="Compact"/>
              <w:jc w:val="left"/>
            </w:pPr>
            <w:r>
              <w:t xml:space="preserve">Installation, Configuration &amp; Deployment Services – Japan Tokyo Site</w:t>
            </w:r>
          </w:p>
        </w:tc>
        <w:tc>
          <w:tcPr/>
          <w:p>
            <w:pPr>
              <w:pStyle w:val="Compact"/>
              <w:jc w:val="center"/>
            </w:pPr>
            <w:r>
              <w:t xml:space="preserve">1</w:t>
            </w:r>
          </w:p>
        </w:tc>
        <w:tc>
          <w:tcPr/>
          <w:p>
            <w:pPr>
              <w:pStyle w:val="Compact"/>
              <w:jc w:val="right"/>
            </w:pPr>
            <w:r>
              <w:t xml:space="preserve">12,500,000</w:t>
            </w:r>
          </w:p>
        </w:tc>
        <w:tc>
          <w:tcPr/>
          <w:p>
            <w:pPr>
              <w:pStyle w:val="Compact"/>
              <w:jc w:val="right"/>
            </w:pPr>
            <w:r>
              <w:t xml:space="preserve">12,500,000</w:t>
            </w:r>
          </w:p>
        </w:tc>
      </w:tr>
      <w:tr>
        <w:tc>
          <w:tcPr/>
          <w:p>
            <w:pPr>
              <w:pStyle w:val="Compact"/>
              <w:jc w:val="left"/>
            </w:pPr>
            <w:r>
              <w:t xml:space="preserve">005</w:t>
            </w:r>
          </w:p>
        </w:tc>
        <w:tc>
          <w:tcPr/>
          <w:p>
            <w:pPr>
              <w:pStyle w:val="Compact"/>
              <w:jc w:val="left"/>
            </w:pPr>
            <w:r>
              <w:t xml:space="preserve">Banker Operator Training Program – 5-Day Intensive (Tokyo, Japan)</w:t>
            </w:r>
          </w:p>
        </w:tc>
        <w:tc>
          <w:tcPr/>
          <w:p>
            <w:pPr>
              <w:pStyle w:val="Compact"/>
              <w:jc w:val="center"/>
            </w:pPr>
            <w:r>
              <w:t xml:space="preserve">1</w:t>
            </w:r>
          </w:p>
        </w:tc>
        <w:tc>
          <w:tcPr/>
          <w:p>
            <w:pPr>
              <w:pStyle w:val="Compact"/>
              <w:jc w:val="right"/>
            </w:pPr>
            <w:r>
              <w:t xml:space="preserve">4,800,000</w:t>
            </w:r>
          </w:p>
        </w:tc>
        <w:tc>
          <w:tcPr/>
          <w:p>
            <w:pPr>
              <w:pStyle w:val="Compact"/>
              <w:jc w:val="right"/>
            </w:pPr>
            <w:r>
              <w:t xml:space="preserve">4,800,000</w:t>
            </w:r>
          </w:p>
        </w:tc>
      </w:tr>
      <w:tr>
        <w:tc>
          <w:tcPr/>
          <w:p>
            <w:pPr>
              <w:pStyle w:val="Compact"/>
              <w:jc w:val="left"/>
            </w:pPr>
            <w:r>
              <w:t xml:space="preserve">006</w:t>
            </w:r>
          </w:p>
        </w:tc>
        <w:tc>
          <w:tcPr/>
          <w:p>
            <w:pPr>
              <w:pStyle w:val="Compact"/>
              <w:jc w:val="left"/>
            </w:pPr>
            <w:r>
              <w:t xml:space="preserve">Annual Maintenance &amp; Technical Support Contract (Year 1)</w:t>
            </w:r>
          </w:p>
        </w:tc>
        <w:tc>
          <w:tcPr/>
          <w:p>
            <w:pPr>
              <w:pStyle w:val="Compact"/>
              <w:jc w:val="center"/>
            </w:pPr>
            <w:r>
              <w:t xml:space="preserve">1</w:t>
            </w:r>
          </w:p>
        </w:tc>
        <w:tc>
          <w:tcPr/>
          <w:p>
            <w:pPr>
              <w:pStyle w:val="Compact"/>
              <w:jc w:val="right"/>
            </w:pPr>
            <w:r>
              <w:t xml:space="preserve">8,900,000</w:t>
            </w:r>
          </w:p>
        </w:tc>
        <w:tc>
          <w:tcPr/>
          <w:p>
            <w:pPr>
              <w:pStyle w:val="Compact"/>
              <w:jc w:val="right"/>
            </w:pPr>
            <w:r>
              <w:t xml:space="preserve">8,900,000</w:t>
            </w:r>
          </w:p>
        </w:tc>
      </w:tr>
      <w:tr>
        <w:tc>
          <w:tcPr>
            <w:gridSpan w:val="4"/>
          </w:tcPr>
          <w:p>
            <w:pPr>
              <w:pStyle w:val="Compact"/>
              <w:jc w:val="left"/>
            </w:pPr>
            <w:r>
              <w:t xml:space="preserve">TOTAL PURCHASE ORDER VALUE:</w:t>
            </w:r>
          </w:p>
        </w:tc>
        <w:tc>
          <w:tcPr/>
          <w:p>
            <w:pPr>
              <w:pStyle w:val="Compact"/>
              <w:jc w:val="right"/>
            </w:pPr>
            <w:r>
              <w:t xml:space="preserve">170,920,000</w:t>
            </w:r>
          </w:p>
        </w:tc>
      </w:tr>
    </w:tbl>
    <w:bookmarkEnd w:id="25"/>
    <w:bookmarkStart w:id="26" w:name="delivery-and-installation-terms"/>
    <w:p>
      <w:pPr>
        <w:pStyle w:val="Heading2"/>
      </w:pPr>
      <w:r>
        <w:t xml:space="preserve">4. Delivery and Installation Terms</w:t>
      </w:r>
    </w:p>
    <w:p>
      <w:pPr>
        <w:pStyle w:val="FirstParagraph"/>
      </w:pPr>
      <w:r>
        <w:t xml:space="preserve">All</w:t>
      </w:r>
      <w:r>
        <w:t xml:space="preserve"> </w:t>
      </w:r>
      <w:r>
        <w:rPr>
          <w:bCs/>
          <w:b/>
        </w:rPr>
        <w:t xml:space="preserve">Banker</w:t>
      </w:r>
      <w:r>
        <w:t xml:space="preserve"> </w:t>
      </w:r>
      <w:r>
        <w:t xml:space="preserve">hardware units, software media, and associated documentation shall be delivered to the Buyer's designated facility at 1-2-3 Chiyoda, Tokyo 100-0001, Japan Tokyo, no later than August 15, 2025. The Seller, Banker Global Systems Corporation, shall be responsible for all shipping, insurance, and customs clearance costs associated with the delivery of the</w:t>
      </w:r>
      <w:r>
        <w:t xml:space="preserve"> </w:t>
      </w:r>
      <w:r>
        <w:rPr>
          <w:bCs/>
          <w:b/>
        </w:rPr>
        <w:t xml:space="preserve">Banker</w:t>
      </w:r>
      <w:r>
        <w:t xml:space="preserve"> </w:t>
      </w:r>
      <w:r>
        <w:t xml:space="preserve">system components to the Japan Tokyo site. Installation and configuration of the</w:t>
      </w:r>
      <w:r>
        <w:t xml:space="preserve"> </w:t>
      </w:r>
      <w:r>
        <w:rPr>
          <w:bCs/>
          <w:b/>
        </w:rPr>
        <w:t xml:space="preserve">Banker</w:t>
      </w:r>
      <w:r>
        <w:t xml:space="preserve"> </w:t>
      </w:r>
      <w:r>
        <w:t xml:space="preserve">platform shall be completed within fourteen (14) business days following physical delivery. The Seller shall assign a dedicated project manager based in Japan Tokyo to oversee the deployment process and ensure full compliance with all applicable Japanese financial regulations and data protection standards.</w:t>
      </w:r>
    </w:p>
    <w:bookmarkEnd w:id="26"/>
    <w:bookmarkStart w:id="27" w:name="payment-terms"/>
    <w:p>
      <w:pPr>
        <w:pStyle w:val="Heading2"/>
      </w:pPr>
      <w:r>
        <w:t xml:space="preserve">5. Payment Terms</w:t>
      </w:r>
    </w:p>
    <w:p>
      <w:pPr>
        <w:pStyle w:val="FirstParagraph"/>
      </w:pPr>
      <w:r>
        <w:t xml:space="preserve">Payment for this Purchase Order shall be made in Japanese Yen (JPY) via bank transfer to the Seller's designated account. The payment schedule is structured as follows:</w:t>
      </w:r>
    </w:p>
    <w:p>
      <w:pPr>
        <w:numPr>
          <w:ilvl w:val="0"/>
          <w:numId w:val="1001"/>
        </w:numPr>
        <w:pStyle w:val="Compact"/>
      </w:pPr>
      <w:r>
        <w:rPr>
          <w:bCs/>
          <w:b/>
        </w:rPr>
        <w:t xml:space="preserve">30% Advance Payment</w:t>
      </w:r>
      <w:r>
        <w:t xml:space="preserve"> </w:t>
      </w:r>
      <w:r>
        <w:t xml:space="preserve">(JPY 51,276,000) – Due within ten (10) business days of Purchase Order acceptance.</w:t>
      </w:r>
    </w:p>
    <w:p>
      <w:pPr>
        <w:numPr>
          <w:ilvl w:val="0"/>
          <w:numId w:val="1001"/>
        </w:numPr>
        <w:pStyle w:val="Compact"/>
      </w:pPr>
      <w:r>
        <w:rPr>
          <w:bCs/>
          <w:b/>
        </w:rPr>
        <w:t xml:space="preserve">50% Milestone Payment</w:t>
      </w:r>
      <w:r>
        <w:t xml:space="preserve"> </w:t>
      </w:r>
      <w:r>
        <w:t xml:space="preserve">(JPY 85,460,000) – Due upon successful installation and initial configuration of the</w:t>
      </w:r>
      <w:r>
        <w:t xml:space="preserve"> </w:t>
      </w:r>
      <w:r>
        <w:rPr>
          <w:bCs/>
          <w:b/>
        </w:rPr>
        <w:t xml:space="preserve">Banker</w:t>
      </w:r>
      <w:r>
        <w:t xml:space="preserve"> </w:t>
      </w:r>
      <w:r>
        <w:t xml:space="preserve">system at the Japan Tokyo facility.</w:t>
      </w:r>
    </w:p>
    <w:p>
      <w:pPr>
        <w:numPr>
          <w:ilvl w:val="0"/>
          <w:numId w:val="1001"/>
        </w:numPr>
        <w:pStyle w:val="Compact"/>
      </w:pPr>
      <w:r>
        <w:rPr>
          <w:bCs/>
          <w:b/>
        </w:rPr>
        <w:t xml:space="preserve">20% Final Payment</w:t>
      </w:r>
      <w:r>
        <w:t xml:space="preserve"> </w:t>
      </w:r>
      <w:r>
        <w:t xml:space="preserve">(JPY 34,184,000) – Due upon completion of the training program and issuance of the final acceptance certificate by the Buyer.</w:t>
      </w:r>
    </w:p>
    <w:p>
      <w:pPr>
        <w:pStyle w:val="FirstParagraph"/>
      </w:pPr>
      <w:r>
        <w:t xml:space="preserve">Late payments shall incur an interest charge of 1.5% per month, calculated from the due date. All invoices must reference this Purchase Order number (PO-JT-2025-004872) for proper accounting reconciliation.</w:t>
      </w:r>
    </w:p>
    <w:bookmarkEnd w:id="27"/>
    <w:bookmarkStart w:id="28" w:name="warranties-and-compliance"/>
    <w:p>
      <w:pPr>
        <w:pStyle w:val="Heading2"/>
      </w:pPr>
      <w:r>
        <w:t xml:space="preserve">6. Warranties and Compliance</w:t>
      </w:r>
    </w:p>
    <w:p>
      <w:pPr>
        <w:pStyle w:val="FirstParagraph"/>
      </w:pPr>
      <w:r>
        <w:t xml:space="preserve">The Seller warrants that all</w:t>
      </w:r>
      <w:r>
        <w:t xml:space="preserve"> </w:t>
      </w:r>
      <w:r>
        <w:rPr>
          <w:bCs/>
          <w:b/>
        </w:rPr>
        <w:t xml:space="preserve">Banker</w:t>
      </w:r>
      <w:r>
        <w:t xml:space="preserve"> </w:t>
      </w:r>
      <w:r>
        <w:t xml:space="preserve">hardware and software components delivered under this Purchase Order shall be free from defects in materials and workmanship for a period of twenty-four (24) months from the date of final acceptance. The</w:t>
      </w:r>
      <w:r>
        <w:t xml:space="preserve"> </w:t>
      </w:r>
      <w:r>
        <w:rPr>
          <w:bCs/>
          <w:b/>
        </w:rPr>
        <w:t xml:space="preserve">Banker</w:t>
      </w:r>
      <w:r>
        <w:t xml:space="preserve"> </w:t>
      </w:r>
      <w:r>
        <w:t xml:space="preserve">system shall comply with all applicable regulations of the Financial Services Agency of Japan and the Personal Information Protection Act (PIPA) as enforced in Japan Tokyo. The Seller shall provide all necessary documentation, user manuals in both Japanese and English, and regulatory compliance certificates prior to the final acceptance inspection.</w:t>
      </w:r>
    </w:p>
    <w:bookmarkEnd w:id="28"/>
    <w:bookmarkStart w:id="29" w:name="acceptance-and-signatures"/>
    <w:p>
      <w:pPr>
        <w:pStyle w:val="Heading2"/>
      </w:pPr>
      <w:r>
        <w:t xml:space="preserve">7. Acceptance and Signatures</w:t>
      </w:r>
    </w:p>
    <w:p>
      <w:pPr>
        <w:pStyle w:val="FirstParagraph"/>
      </w:pPr>
      <w:r>
        <w:t xml:space="preserve">This Purchase Order becomes binding upon written acceptance by both parties. The Buyer reserves the right to inspect all</w:t>
      </w:r>
      <w:r>
        <w:t xml:space="preserve"> </w:t>
      </w:r>
      <w:r>
        <w:rPr>
          <w:bCs/>
          <w:b/>
        </w:rPr>
        <w:t xml:space="preserve">Banker</w:t>
      </w:r>
      <w:r>
        <w:t xml:space="preserve"> </w:t>
      </w:r>
      <w:r>
        <w:t xml:space="preserve">components upon arrival at the Japan Tokyo facility and to reject any items that do not conform to the specifications outlined herein. Disputes arising from this Purchase Order shall be resolved under the laws of Japan, with jurisdiction vested in the courts of Tokyo, Japan.</w:t>
      </w:r>
    </w:p>
    <w:tbl>
      <w:tblPr>
        <w:tblStyle w:val="Table"/>
        <w:tblW w:type="pct" w:w="5000"/>
        <w:tblLook w:firstRow="0" w:lastRow="0" w:firstColumn="0" w:lastColumn="0" w:noHBand="0" w:noVBand="0" w:val="0000"/>
      </w:tblPr>
      <w:tblGrid>
        <w:gridCol w:w="3960"/>
        <w:gridCol w:w="3960"/>
      </w:tblGrid>
      <w:tr>
        <w:tc>
          <w:tcPr/>
          <w:p>
            <w:pPr>
              <w:jc w:val="left"/>
            </w:pPr>
            <w:r>
              <w:t xml:space="preserve">BUYER AUTHORIZED SIGNATORY:</w:t>
            </w:r>
          </w:p>
          <w:p>
            <w:pPr>
              <w:jc w:val="left"/>
            </w:pPr>
            <w:r>
              <w:t xml:space="preserve">Name: Kenji Tanaka</w:t>
            </w:r>
          </w:p>
          <w:p>
            <w:pPr>
              <w:jc w:val="left"/>
            </w:pPr>
            <w:r>
              <w:t xml:space="preserve">Title: Director of Procurement</w:t>
            </w:r>
          </w:p>
          <w:p>
            <w:pPr>
              <w:jc w:val="left"/>
            </w:pPr>
            <w:r>
              <w:t xml:space="preserve">Date: _______________</w:t>
            </w:r>
          </w:p>
        </w:tc>
        <w:tc>
          <w:tcPr/>
          <w:p>
            <w:pPr>
              <w:jc w:val="left"/>
            </w:pPr>
            <w:r>
              <w:t xml:space="preserve">SELLER AUTHORIZED SIGNATORY:</w:t>
            </w:r>
          </w:p>
          <w:p>
            <w:pPr>
              <w:jc w:val="left"/>
            </w:pPr>
            <w:r>
              <w:t xml:space="preserve">Name: Yuki Yamamoto</w:t>
            </w:r>
          </w:p>
          <w:p>
            <w:pPr>
              <w:jc w:val="left"/>
            </w:pPr>
            <w:r>
              <w:t xml:space="preserve">Title: VP of Sales, Japan Tokyo Region</w:t>
            </w:r>
          </w:p>
          <w:p>
            <w:pPr>
              <w:jc w:val="left"/>
            </w:pPr>
            <w:r>
              <w:t xml:space="preserve">Date: _______________</w:t>
            </w:r>
          </w:p>
        </w:tc>
      </w:tr>
    </w:tbl>
    <w:bookmarkEnd w:id="29"/>
    <w:p>
      <w:pPr>
        <w:pStyle w:val="BodyText"/>
      </w:pPr>
      <w:r>
        <w:t xml:space="preserve">This Purchase Order document (PO-JT-2025-004872) is issued for the procurement of the Banker Integrated Banking Operations Platform for deployment in Japan Tokyo. This document is confidential and intended solely for the named parties. Unauthorized reproduction or distribution is prohibited. All terms are subject to the Master Service Agreement between the parties dated January 2025.</w:t>
      </w:r>
    </w:p>
    <w:p>
      <w:pPr>
        <w:pStyle w:val="BodyText"/>
      </w:pPr>
      <w:r>
        <w:t xml:space="preserve">Document generated: June 12, 2025 | Version 1.0 | Japan Tokyo Procurement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System - Japan Tokyo</dc:title>
  <dc:creator/>
  <dc:language>en</dc:language>
  <cp:keywords/>
  <dcterms:created xsi:type="dcterms:W3CDTF">2026-10-10T04:24:20Z</dcterms:created>
  <dcterms:modified xsi:type="dcterms:W3CDTF">2026-10-10T04:24:20Z</dcterms:modified>
</cp:coreProperties>
</file>

<file path=docProps/custom.xml><?xml version="1.0" encoding="utf-8"?>
<Properties xmlns="http://schemas.openxmlformats.org/officeDocument/2006/custom-properties" xmlns:vt="http://schemas.openxmlformats.org/officeDocument/2006/docPropsVTypes"/>
</file>