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Banker Workstation Equipment, Software, and Professional Services</w:t>
      </w:r>
    </w:p>
    <w:p>
      <w:pPr>
        <w:pStyle w:val="BodyText"/>
      </w:pPr>
      <w:r>
        <w:t xml:space="preserve">Republic of Kenya — Nairobi Metropolitan Region</w:t>
      </w:r>
    </w:p>
    <w:p>
      <w:pPr>
        <w:pStyle w:val="BodyText"/>
      </w:pPr>
      <w:r>
        <w:t xml:space="preserve">PO No: KEN-NBO-BNK-2025-04872</w:t>
      </w:r>
    </w:p>
    <w:p>
      <w:pPr>
        <w:pStyle w:val="BodyText"/>
      </w:pPr>
      <w:r>
        <w:t xml:space="preserve">Date of Issue: 15th June 2025</w:t>
      </w:r>
    </w:p>
    <w:bookmarkEnd w:id="20"/>
    <w:bookmarkStart w:id="21" w:name="buyer-purchasing-entity"/>
    <w:p>
      <w:pPr>
        <w:pStyle w:val="Heading3"/>
      </w:pPr>
      <w:r>
        <w:t xml:space="preserve">BUYER (Purchasing Entity)</w:t>
      </w:r>
    </w:p>
    <w:p>
      <w:pPr>
        <w:pStyle w:val="FirstParagraph"/>
      </w:pPr>
      <w:r>
        <w:rPr>
          <w:bCs/>
          <w:b/>
        </w:rPr>
        <w:t xml:space="preserve">Name:</w:t>
      </w:r>
      <w:r>
        <w:t xml:space="preserve"> </w:t>
      </w:r>
      <w:r>
        <w:t xml:space="preserve">East African Commercial Bank Limited</w:t>
      </w:r>
    </w:p>
    <w:p>
      <w:pPr>
        <w:pStyle w:val="BodyText"/>
      </w:pPr>
      <w:r>
        <w:rPr>
          <w:bCs/>
          <w:b/>
        </w:rPr>
        <w:t xml:space="preserve">Department:</w:t>
      </w:r>
      <w:r>
        <w:t xml:space="preserve"> </w:t>
      </w:r>
      <w:r>
        <w:t xml:space="preserve">Retail Banking &amp; Operations Division</w:t>
      </w:r>
    </w:p>
    <w:p>
      <w:pPr>
        <w:pStyle w:val="BodyText"/>
      </w:pPr>
      <w:r>
        <w:rPr>
          <w:bCs/>
          <w:b/>
        </w:rPr>
        <w:t xml:space="preserve">Address:</w:t>
      </w:r>
      <w:r>
        <w:t xml:space="preserve"> </w:t>
      </w:r>
      <w:r>
        <w:t xml:space="preserve">4th Floor, Nairobi International Financial Centre, Waiyaki Way, Nairobi, Kenya</w:t>
      </w:r>
    </w:p>
    <w:p>
      <w:pPr>
        <w:pStyle w:val="BodyText"/>
      </w:pPr>
      <w:r>
        <w:rPr>
          <w:bCs/>
          <w:b/>
        </w:rPr>
        <w:t xml:space="preserve">Physical Location:</w:t>
      </w:r>
      <w:r>
        <w:t xml:space="preserve"> </w:t>
      </w:r>
      <w:r>
        <w:t xml:space="preserve">Nairobi, Kenya — Westlands Business District</w:t>
      </w:r>
    </w:p>
    <w:p>
      <w:pPr>
        <w:pStyle w:val="BodyText"/>
      </w:pPr>
      <w:r>
        <w:rPr>
          <w:bCs/>
          <w:b/>
        </w:rPr>
        <w:t xml:space="preserve">Contact Person:</w:t>
      </w:r>
      <w:r>
        <w:t xml:space="preserve"> </w:t>
      </w:r>
      <w:r>
        <w:t xml:space="preserve">Mr. James Mwangi, Head of Procurement</w:t>
      </w:r>
    </w:p>
    <w:p>
      <w:pPr>
        <w:pStyle w:val="BodyText"/>
      </w:pPr>
      <w:r>
        <w:rPr>
          <w:bCs/>
          <w:b/>
        </w:rPr>
        <w:t xml:space="preserve">Email:</w:t>
      </w:r>
      <w:r>
        <w:t xml:space="preserve"> </w:t>
      </w:r>
      <w:r>
        <w:t xml:space="preserve">procurement@eacbank.co.ke</w:t>
      </w:r>
    </w:p>
    <w:p>
      <w:pPr>
        <w:pStyle w:val="BodyText"/>
      </w:pPr>
      <w:r>
        <w:rPr>
          <w:bCs/>
          <w:b/>
        </w:rPr>
        <w:t xml:space="preserve">Phone:</w:t>
      </w:r>
      <w:r>
        <w:t xml:space="preserve"> </w:t>
      </w:r>
      <w:r>
        <w:t xml:space="preserve">+254-700-123-456</w:t>
      </w:r>
    </w:p>
    <w:p>
      <w:pPr>
        <w:pStyle w:val="BodyText"/>
      </w:pPr>
      <w:r>
        <w:rPr>
          <w:bCs/>
          <w:b/>
        </w:rPr>
        <w:t xml:space="preserve">KRA PIN:</w:t>
      </w:r>
      <w:r>
        <w:t xml:space="preserve"> </w:t>
      </w:r>
      <w:r>
        <w:t xml:space="preserve">P051234567X</w:t>
      </w:r>
    </w:p>
    <w:bookmarkEnd w:id="21"/>
    <w:bookmarkStart w:id="22" w:name="supplier-vendor"/>
    <w:p>
      <w:pPr>
        <w:pStyle w:val="Heading3"/>
      </w:pPr>
      <w:r>
        <w:t xml:space="preserve">SUPPLIER (Vendor)</w:t>
      </w:r>
    </w:p>
    <w:p>
      <w:pPr>
        <w:pStyle w:val="FirstParagraph"/>
      </w:pPr>
      <w:r>
        <w:rPr>
          <w:bCs/>
          <w:b/>
        </w:rPr>
        <w:t xml:space="preserve">Name:</w:t>
      </w:r>
      <w:r>
        <w:t xml:space="preserve"> </w:t>
      </w:r>
      <w:r>
        <w:t xml:space="preserve">TechBank Solutions Africa Ltd.</w:t>
      </w:r>
    </w:p>
    <w:p>
      <w:pPr>
        <w:pStyle w:val="BodyText"/>
      </w:pPr>
      <w:r>
        <w:rPr>
          <w:bCs/>
          <w:b/>
        </w:rPr>
        <w:t xml:space="preserve">Address:</w:t>
      </w:r>
      <w:r>
        <w:t xml:space="preserve"> </w:t>
      </w:r>
      <w:r>
        <w:t xml:space="preserve">Plot 12, Kimathi Street, Nairobi, Kenya</w:t>
      </w:r>
    </w:p>
    <w:p>
      <w:pPr>
        <w:pStyle w:val="BodyText"/>
      </w:pPr>
      <w:r>
        <w:rPr>
          <w:bCs/>
          <w:b/>
        </w:rPr>
        <w:t xml:space="preserve">Physical Location:</w:t>
      </w:r>
      <w:r>
        <w:t xml:space="preserve"> </w:t>
      </w:r>
      <w:r>
        <w:t xml:space="preserve">Nairobi, Kenya — CBD Area</w:t>
      </w:r>
    </w:p>
    <w:p>
      <w:pPr>
        <w:pStyle w:val="BodyText"/>
      </w:pPr>
      <w:r>
        <w:rPr>
          <w:bCs/>
          <w:b/>
        </w:rPr>
        <w:t xml:space="preserve">Contact Person:</w:t>
      </w:r>
      <w:r>
        <w:t xml:space="preserve"> </w:t>
      </w:r>
      <w:r>
        <w:t xml:space="preserve">Ms. Amina Hassan, Sales Director</w:t>
      </w:r>
    </w:p>
    <w:p>
      <w:pPr>
        <w:pStyle w:val="BodyText"/>
      </w:pPr>
      <w:r>
        <w:rPr>
          <w:bCs/>
          <w:b/>
        </w:rPr>
        <w:t xml:space="preserve">Email:</w:t>
      </w:r>
      <w:r>
        <w:t xml:space="preserve"> </w:t>
      </w:r>
      <w:r>
        <w:t xml:space="preserve">sales@techbanksolutions.co.ke</w:t>
      </w:r>
    </w:p>
    <w:p>
      <w:pPr>
        <w:pStyle w:val="BodyText"/>
      </w:pPr>
      <w:r>
        <w:rPr>
          <w:bCs/>
          <w:b/>
        </w:rPr>
        <w:t xml:space="preserve">Phone:</w:t>
      </w:r>
      <w:r>
        <w:t xml:space="preserve"> </w:t>
      </w:r>
      <w:r>
        <w:t xml:space="preserve">+254-722-987-654</w:t>
      </w:r>
    </w:p>
    <w:p>
      <w:pPr>
        <w:pStyle w:val="BodyText"/>
      </w:pPr>
      <w:r>
        <w:rPr>
          <w:bCs/>
          <w:b/>
        </w:rPr>
        <w:t xml:space="preserve">KRA PIN:</w:t>
      </w:r>
      <w:r>
        <w:t xml:space="preserve"> </w:t>
      </w:r>
      <w:r>
        <w:t xml:space="preserve">P059876543X</w:t>
      </w:r>
    </w:p>
    <w:p>
      <w:pPr>
        <w:pStyle w:val="BodyText"/>
      </w:pPr>
      <w:r>
        <w:rPr>
          <w:bCs/>
          <w:b/>
        </w:rPr>
        <w:t xml:space="preserve">License No:</w:t>
      </w:r>
      <w:r>
        <w:t xml:space="preserve"> </w:t>
      </w:r>
      <w:r>
        <w:t xml:space="preserve">KE-BIZ-2019-44521</w:t>
      </w:r>
    </w:p>
    <w:bookmarkEnd w:id="22"/>
    <w:bookmarkStart w:id="24" w:name="X8a73a9e7ad9b4275732a460fefd2c491af04325"/>
    <w:p>
      <w:pPr>
        <w:pStyle w:val="Heading2"/>
      </w:pPr>
      <w:r>
        <w:t xml:space="preserve">Line Items — Banker Equipment and Services for Nairobi Branches</w:t>
      </w:r>
    </w:p>
    <w:p>
      <w:pPr>
        <w:pStyle w:val="FirstParagraph"/>
      </w:pPr>
      <w:r>
        <w:t xml:space="preserve">This Purchase Order is issued to procure specialized equipment, software licenses, and professional services required to equip and support</w:t>
      </w:r>
      <w:r>
        <w:t xml:space="preserve"> </w:t>
      </w:r>
      <w:r>
        <w:t xml:space="preserve">Banker</w:t>
      </w:r>
      <w:r>
        <w:t xml:space="preserve"> </w:t>
      </w:r>
      <w:r>
        <w:t xml:space="preserve">workstations across all retail banking branches located in</w:t>
      </w:r>
      <w:r>
        <w:t xml:space="preserve"> </w:t>
      </w:r>
      <w:r>
        <w:t xml:space="preserve">Kenya Nairobi</w:t>
      </w:r>
      <w:r>
        <w:t xml:space="preserve">. The items below are intended to enhance the operational efficiency, security, and customer service capabilities of every</w:t>
      </w:r>
      <w:r>
        <w:t xml:space="preserve"> </w:t>
      </w:r>
      <w:r>
        <w:t xml:space="preserve">Banker</w:t>
      </w:r>
      <w:r>
        <w:t xml:space="preserve"> </w:t>
      </w:r>
      <w:r>
        <w:t xml:space="preserve">stationed at the Nairobi branch network.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Banker Dual-Monitor Workstation (27-inch 4K displays, Intel i7, 32GB RAM, 1TB SSD) — for teller and customer-facing Banker stations</w:t>
            </w:r>
          </w:p>
        </w:tc>
        <w:tc>
          <w:tcPr/>
          <w:p>
            <w:pPr>
              <w:pStyle w:val="Compact"/>
              <w:jc w:val="left"/>
            </w:pPr>
            <w:r>
              <w:t xml:space="preserve">45</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02</w:t>
            </w:r>
          </w:p>
        </w:tc>
        <w:tc>
          <w:tcPr/>
          <w:p>
            <w:pPr>
              <w:pStyle w:val="Compact"/>
              <w:jc w:val="left"/>
            </w:pPr>
            <w:r>
              <w:t xml:space="preserve">Banker Secure PIN Pad and Biometric Fingerprint Scanner (PCI-DSS compliant) for transaction authentication</w:t>
            </w:r>
          </w:p>
        </w:tc>
        <w:tc>
          <w:tcPr/>
          <w:p>
            <w:pPr>
              <w:pStyle w:val="Compact"/>
              <w:jc w:val="left"/>
            </w:pPr>
            <w:r>
              <w:t xml:space="preserve">45</w:t>
            </w:r>
          </w:p>
        </w:tc>
        <w:tc>
          <w:tcPr/>
          <w:p>
            <w:pPr>
              <w:pStyle w:val="Compact"/>
              <w:jc w:val="left"/>
            </w:pPr>
            <w:r>
              <w:t xml:space="preserve">42,500</w:t>
            </w:r>
          </w:p>
        </w:tc>
        <w:tc>
          <w:tcPr/>
          <w:p>
            <w:pPr>
              <w:pStyle w:val="Compact"/>
              <w:jc w:val="left"/>
            </w:pPr>
            <w:r>
              <w:t xml:space="preserve">1,912,500</w:t>
            </w:r>
          </w:p>
        </w:tc>
      </w:tr>
      <w:tr>
        <w:tc>
          <w:tcPr/>
          <w:p>
            <w:pPr>
              <w:pStyle w:val="Compact"/>
              <w:jc w:val="left"/>
            </w:pPr>
            <w:r>
              <w:t xml:space="preserve">03</w:t>
            </w:r>
          </w:p>
        </w:tc>
        <w:tc>
          <w:tcPr/>
          <w:p>
            <w:pPr>
              <w:pStyle w:val="Compact"/>
              <w:jc w:val="left"/>
            </w:pPr>
            <w:r>
              <w:t xml:space="preserve">Banker Core Banking Software License (per-user annual subscription, includes mobile banking module for field Bankers in Nairobi)</w:t>
            </w:r>
          </w:p>
        </w:tc>
        <w:tc>
          <w:tcPr/>
          <w:p>
            <w:pPr>
              <w:pStyle w:val="Compact"/>
              <w:jc w:val="left"/>
            </w:pPr>
            <w:r>
              <w:t xml:space="preserve">120</w:t>
            </w:r>
          </w:p>
        </w:tc>
        <w:tc>
          <w:tcPr/>
          <w:p>
            <w:pPr>
              <w:pStyle w:val="Compact"/>
              <w:jc w:val="left"/>
            </w:pPr>
            <w:r>
              <w:t xml:space="preserve">38,000</w:t>
            </w:r>
          </w:p>
        </w:tc>
        <w:tc>
          <w:tcPr/>
          <w:p>
            <w:pPr>
              <w:pStyle w:val="Compact"/>
              <w:jc w:val="left"/>
            </w:pPr>
            <w:r>
              <w:t xml:space="preserve">4,560,000</w:t>
            </w:r>
          </w:p>
        </w:tc>
      </w:tr>
      <w:tr>
        <w:tc>
          <w:tcPr/>
          <w:p>
            <w:pPr>
              <w:pStyle w:val="Compact"/>
              <w:jc w:val="left"/>
            </w:pPr>
            <w:r>
              <w:t xml:space="preserve">04</w:t>
            </w:r>
          </w:p>
        </w:tc>
        <w:tc>
          <w:tcPr/>
          <w:p>
            <w:pPr>
              <w:pStyle w:val="Compact"/>
              <w:jc w:val="left"/>
            </w:pPr>
            <w:r>
              <w:t xml:space="preserve">Banker Ergonomic Office Chair and Height-Adjustable Desk (for extended shift comfort at Nairobi branch counters)</w:t>
            </w:r>
          </w:p>
        </w:tc>
        <w:tc>
          <w:tcPr/>
          <w:p>
            <w:pPr>
              <w:pStyle w:val="Compact"/>
              <w:jc w:val="left"/>
            </w:pPr>
            <w:r>
              <w:t xml:space="preserve">45</w:t>
            </w:r>
          </w:p>
        </w:tc>
        <w:tc>
          <w:tcPr/>
          <w:p>
            <w:pPr>
              <w:pStyle w:val="Compact"/>
              <w:jc w:val="left"/>
            </w:pPr>
            <w:r>
              <w:t xml:space="preserve">55,000</w:t>
            </w:r>
          </w:p>
        </w:tc>
        <w:tc>
          <w:tcPr/>
          <w:p>
            <w:pPr>
              <w:pStyle w:val="Compact"/>
              <w:jc w:val="left"/>
            </w:pPr>
            <w:r>
              <w:t xml:space="preserve">2,475,000</w:t>
            </w:r>
          </w:p>
        </w:tc>
      </w:tr>
      <w:tr>
        <w:tc>
          <w:tcPr/>
          <w:p>
            <w:pPr>
              <w:pStyle w:val="Compact"/>
              <w:jc w:val="left"/>
            </w:pPr>
            <w:r>
              <w:t xml:space="preserve">05</w:t>
            </w:r>
          </w:p>
        </w:tc>
        <w:tc>
          <w:tcPr/>
          <w:p>
            <w:pPr>
              <w:pStyle w:val="Compact"/>
              <w:jc w:val="left"/>
            </w:pPr>
            <w:r>
              <w:t xml:space="preserve">Banker Anti-Fraud and AML Compliance Training Program (3-day intensive workshop for all Banker staff in Kenya Nairobi)</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Banker Dedicated UPS Power Backup (3000VA, 1-hour runtime) to ensure uninterrupted service during Nairobi power fluctuations</w:t>
            </w:r>
          </w:p>
        </w:tc>
        <w:tc>
          <w:tcPr/>
          <w:p>
            <w:pPr>
              <w:pStyle w:val="Compact"/>
              <w:jc w:val="left"/>
            </w:pPr>
            <w:r>
              <w:t xml:space="preserve">45</w:t>
            </w:r>
          </w:p>
        </w:tc>
        <w:tc>
          <w:tcPr/>
          <w:p>
            <w:pPr>
              <w:pStyle w:val="Compact"/>
              <w:jc w:val="left"/>
            </w:pPr>
            <w:r>
              <w:t xml:space="preserve">68,000</w:t>
            </w:r>
          </w:p>
        </w:tc>
        <w:tc>
          <w:tcPr/>
          <w:p>
            <w:pPr>
              <w:pStyle w:val="Compact"/>
              <w:jc w:val="left"/>
            </w:pPr>
            <w:r>
              <w:t xml:space="preserve">3,060,000</w:t>
            </w:r>
          </w:p>
        </w:tc>
      </w:tr>
      <w:tr>
        <w:tc>
          <w:tcPr/>
          <w:p>
            <w:pPr>
              <w:pStyle w:val="Compact"/>
              <w:jc w:val="left"/>
            </w:pPr>
            <w:r>
              <w:t xml:space="preserve">07</w:t>
            </w:r>
          </w:p>
        </w:tc>
        <w:tc>
          <w:tcPr/>
          <w:p>
            <w:pPr>
              <w:pStyle w:val="Compact"/>
              <w:jc w:val="left"/>
            </w:pPr>
            <w:r>
              <w:t xml:space="preserve">Banker CCTV and Surveillance System (4K dome cameras, 90-day storage) for each Nairobi branch vault and teller area</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08</w:t>
            </w:r>
          </w:p>
        </w:tc>
        <w:tc>
          <w:tcPr/>
          <w:p>
            <w:pPr>
              <w:pStyle w:val="Compact"/>
              <w:jc w:val="left"/>
            </w:pPr>
            <w:r>
              <w:t xml:space="preserve">Banker Customer Queue Management System (digital display, ticket dispensers, and software) for Nairobi branch lobbies</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09</w:t>
            </w:r>
          </w:p>
        </w:tc>
        <w:tc>
          <w:tcPr/>
          <w:p>
            <w:pPr>
              <w:pStyle w:val="Compact"/>
              <w:jc w:val="left"/>
            </w:pPr>
            <w:r>
              <w:t xml:space="preserve">Banker Annual Maintenance and Technical Support Contract (on-site support in Kenya Nairobi, 24/7 response)</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10</w:t>
            </w:r>
          </w:p>
        </w:tc>
        <w:tc>
          <w:tcPr/>
          <w:p>
            <w:pPr>
              <w:pStyle w:val="Compact"/>
              <w:jc w:val="left"/>
            </w:pPr>
            <w:r>
              <w:t xml:space="preserve">Banker Branded Uniforms and Professional Attire (2 sets per Banker, Nairobi branch standard)</w:t>
            </w:r>
          </w:p>
        </w:tc>
        <w:tc>
          <w:tcPr/>
          <w:p>
            <w:pPr>
              <w:pStyle w:val="Compact"/>
              <w:jc w:val="left"/>
            </w:pPr>
            <w:r>
              <w:t xml:space="preserve">240</w:t>
            </w:r>
          </w:p>
        </w:tc>
        <w:tc>
          <w:tcPr/>
          <w:p>
            <w:pPr>
              <w:pStyle w:val="Compact"/>
              <w:jc w:val="left"/>
            </w:pPr>
            <w:r>
              <w:t xml:space="preserve">4,500</w:t>
            </w:r>
          </w:p>
        </w:tc>
        <w:tc>
          <w:tcPr/>
          <w:p>
            <w:pPr>
              <w:pStyle w:val="Compact"/>
              <w:jc w:val="left"/>
            </w:pPr>
            <w:r>
              <w:t xml:space="preserve">1,080,000</w:t>
            </w:r>
          </w:p>
        </w:tc>
      </w:tr>
      <w:tr>
        <w:tc>
          <w:tcPr>
            <w:gridSpan w:val="4"/>
          </w:tcPr>
          <w:p>
            <w:pPr>
              <w:pStyle w:val="Compact"/>
              <w:jc w:val="right"/>
            </w:pPr>
            <w:r>
              <w:t xml:space="preserve">SUBTOTAL</w:t>
            </w:r>
          </w:p>
        </w:tc>
        <w:tc>
          <w:tcPr/>
          <w:p>
            <w:pPr>
              <w:pStyle w:val="Compact"/>
              <w:jc w:val="left"/>
            </w:pPr>
            <w:r>
              <w:t xml:space="preserve">30,000,000</w:t>
            </w:r>
          </w:p>
        </w:tc>
      </w:tr>
      <w:tr>
        <w:tc>
          <w:tcPr>
            <w:gridSpan w:val="4"/>
          </w:tcPr>
          <w:p>
            <w:pPr>
              <w:pStyle w:val="Compact"/>
              <w:jc w:val="right"/>
            </w:pPr>
            <w:r>
              <w:t xml:space="preserve">VAT (16% — Kenya Revenue Authority)</w:t>
            </w:r>
          </w:p>
        </w:tc>
        <w:tc>
          <w:tcPr/>
          <w:p>
            <w:pPr>
              <w:pStyle w:val="Compact"/>
              <w:jc w:val="left"/>
            </w:pPr>
            <w:r>
              <w:t xml:space="preserve">4,800,000</w:t>
            </w:r>
          </w:p>
        </w:tc>
      </w:tr>
      <w:tr>
        <w:tc>
          <w:tcPr>
            <w:gridSpan w:val="4"/>
          </w:tcPr>
          <w:p>
            <w:pPr>
              <w:pStyle w:val="Compact"/>
              <w:jc w:val="right"/>
            </w:pPr>
            <w:r>
              <w:t xml:space="preserve">GRAND TOTAL (KES)</w:t>
            </w:r>
          </w:p>
        </w:tc>
        <w:tc>
          <w:tcPr/>
          <w:p>
            <w:pPr>
              <w:pStyle w:val="Compact"/>
              <w:jc w:val="left"/>
            </w:pPr>
            <w:r>
              <w:t xml:space="preserve">34,800,000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 Location:</w:t>
      </w:r>
      <w:r>
        <w:t xml:space="preserve"> </w:t>
      </w:r>
      <w:r>
        <w:t xml:space="preserve">All goods and services under this Purchase Order shall be delivered and installed at the respective branch locations of East African Commercial Bank Limited within the</w:t>
      </w:r>
      <w:r>
        <w:t xml:space="preserve"> </w:t>
      </w:r>
      <w:r>
        <w:t xml:space="preserve">Kenya Nairobi</w:t>
      </w:r>
      <w:r>
        <w:t xml:space="preserve"> </w:t>
      </w:r>
      <w:r>
        <w:t xml:space="preserve">metropolitan area, including but not limited to the Westlands, CBD, Kilimani, and Karen branch offices.</w:t>
      </w:r>
    </w:p>
    <w:p>
      <w:pPr>
        <w:numPr>
          <w:ilvl w:val="0"/>
          <w:numId w:val="1001"/>
        </w:numPr>
        <w:pStyle w:val="Compact"/>
      </w:pPr>
      <w:r>
        <w:rPr>
          <w:bCs/>
          <w:b/>
        </w:rPr>
        <w:t xml:space="preserve">Delivery Timeline:</w:t>
      </w:r>
      <w:r>
        <w:t xml:space="preserve"> </w:t>
      </w:r>
      <w:r>
        <w:t xml:space="preserve">The Supplier shall complete all deliveries and installations within forty-five (45) calendar days from the date of this Purchase Order. The Banker workstations must be fully operational before the start of the next fiscal quarter.</w:t>
      </w:r>
    </w:p>
    <w:p>
      <w:pPr>
        <w:numPr>
          <w:ilvl w:val="0"/>
          <w:numId w:val="1001"/>
        </w:numPr>
        <w:pStyle w:val="Compact"/>
      </w:pPr>
      <w:r>
        <w:rPr>
          <w:bCs/>
          <w:b/>
        </w:rPr>
        <w:t xml:space="preserve">Payment Terms:</w:t>
      </w:r>
      <w:r>
        <w:t xml:space="preserve"> </w:t>
      </w:r>
      <w:r>
        <w:t xml:space="preserve">Payment shall be made in three installments: 40% upon signing of this Purchase Order, 40% upon successful delivery and installation of all Banker equipment in Kenya Nairobi, and 20% upon final acceptance and completion of the Banker training program. All payments shall be processed via bank transfer to the Supplier's designated account in Kenyan Shillings (KES).</w:t>
      </w:r>
    </w:p>
    <w:p>
      <w:pPr>
        <w:numPr>
          <w:ilvl w:val="0"/>
          <w:numId w:val="1001"/>
        </w:numPr>
        <w:pStyle w:val="Compact"/>
      </w:pPr>
      <w:r>
        <w:rPr>
          <w:bCs/>
          <w:b/>
        </w:rPr>
        <w:t xml:space="preserve">Warranty:</w:t>
      </w:r>
      <w:r>
        <w:t xml:space="preserve"> </w:t>
      </w:r>
      <w:r>
        <w:t xml:space="preserve">All hardware items procured for the Banker workstations shall carry a minimum two-year manufacturer's warranty. Software licenses are valid for twelve (12) months from the date of activation. The Supplier guarantees that all Banker equipment will meet the specifications outlined in this Purchase Order.</w:t>
      </w:r>
    </w:p>
    <w:p>
      <w:pPr>
        <w:numPr>
          <w:ilvl w:val="0"/>
          <w:numId w:val="1001"/>
        </w:numPr>
        <w:pStyle w:val="Compact"/>
      </w:pPr>
      <w:r>
        <w:rPr>
          <w:bCs/>
          <w:b/>
        </w:rPr>
        <w:t xml:space="preserve">Compliance:</w:t>
      </w:r>
      <w:r>
        <w:t xml:space="preserve"> </w:t>
      </w:r>
      <w:r>
        <w:t xml:space="preserve">All products and services must comply with the regulations set forth by the Central Bank of Kenya (CBK) and the Kenya Revenue Authority (KRA). The Supplier warrants that all Banker-facing technology is PCI-DSS compliant and meets the data protection standards under the Kenya Data Protection Act, 2019.</w:t>
      </w:r>
    </w:p>
    <w:p>
      <w:pPr>
        <w:numPr>
          <w:ilvl w:val="0"/>
          <w:numId w:val="1001"/>
        </w:numPr>
        <w:pStyle w:val="Compact"/>
      </w:pPr>
      <w:r>
        <w:rPr>
          <w:bCs/>
          <w:b/>
        </w:rPr>
        <w:t xml:space="preserve">Quality Assurance:</w:t>
      </w:r>
      <w:r>
        <w:t xml:space="preserve"> </w:t>
      </w:r>
      <w:r>
        <w:t xml:space="preserve">The Buyer reserves the right to inspect and test all Banker equipment upon delivery at the Nairobi branch sites. Any item found defective or non-conforming shall be replaced at the Supplier's sole expense within seven (7) business days.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policy changes in Kenya, or civil unrest affecting the Nairobi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Kenya. Any disputes arising from this Purchase Order shall be resolved through arbitration in Nairobi, Kenya, in accordance with the Arbitration Act, 1995.</w:t>
      </w:r>
    </w:p>
    <w:p>
      <w:pPr>
        <w:numPr>
          <w:ilvl w:val="0"/>
          <w:numId w:val="1001"/>
        </w:numPr>
        <w:pStyle w:val="Compact"/>
      </w:pPr>
      <w:r>
        <w:rPr>
          <w:bCs/>
          <w:b/>
        </w:rPr>
        <w:t xml:space="preserve">Confidentiality:</w:t>
      </w:r>
      <w:r>
        <w:t xml:space="preserve"> </w:t>
      </w:r>
      <w:r>
        <w:t xml:space="preserve">Both parties agree to maintain strict confidentiality regarding all banking operations, customer data, and internal processes of the Banker staff. No information obtained through this Purchase Order shall be disclosed to third parties without written consent.</w:t>
      </w:r>
    </w:p>
    <w:p>
      <w:pPr>
        <w:numPr>
          <w:ilvl w:val="0"/>
          <w:numId w:val="1001"/>
        </w:numPr>
        <w:pStyle w:val="Compact"/>
      </w:pPr>
      <w:r>
        <w:rPr>
          <w:bCs/>
          <w:b/>
        </w:rPr>
        <w:t xml:space="preserve">Validity:</w:t>
      </w:r>
      <w:r>
        <w:t xml:space="preserve"> </w:t>
      </w:r>
      <w:r>
        <w:t xml:space="preserve">This Purchase Order is valid for sixty (60) days from the date of issue. If the Supplier does not accept this Purchase Order within the validity period, it shall automatically lapse and require re-issuance.</w:t>
      </w:r>
    </w:p>
    <w:bookmarkEnd w:id="23"/>
    <w:p>
      <w:pPr>
        <w:pStyle w:val="FirstParagraph"/>
      </w:pPr>
      <w:r>
        <w:rPr>
          <w:bCs/>
          <w:b/>
        </w:rPr>
        <w:t xml:space="preserve">For and on behalf of the Buyer:</w:t>
      </w:r>
    </w:p>
    <w:p>
      <w:pPr>
        <w:pStyle w:val="BodyText"/>
      </w:pPr>
      <w:r>
        <w:t xml:space="preserve">East African Commercial Bank Limited</w:t>
      </w:r>
    </w:p>
    <w:p>
      <w:pPr>
        <w:pStyle w:val="BodyText"/>
      </w:pPr>
      <w:r>
        <w:t xml:space="preserve">Mr. James Mwangi</w:t>
      </w:r>
    </w:p>
    <w:p>
      <w:pPr>
        <w:pStyle w:val="BodyText"/>
      </w:pPr>
      <w:r>
        <w:t xml:space="preserve">Head of Procurement</w:t>
      </w:r>
    </w:p>
    <w:p>
      <w:pPr>
        <w:pStyle w:val="BodyText"/>
      </w:pPr>
      <w:r>
        <w:t xml:space="preserve">Date: _______________</w:t>
      </w:r>
    </w:p>
    <w:p>
      <w:pPr>
        <w:pStyle w:val="BodyText"/>
      </w:pPr>
      <w:r>
        <w:rPr>
          <w:bCs/>
          <w:b/>
        </w:rPr>
        <w:t xml:space="preserve">For and on behalf of the Supplier:</w:t>
      </w:r>
    </w:p>
    <w:p>
      <w:pPr>
        <w:pStyle w:val="BodyText"/>
      </w:pPr>
      <w:r>
        <w:t xml:space="preserve">TechBank Solutions Africa Ltd.</w:t>
      </w:r>
    </w:p>
    <w:p>
      <w:pPr>
        <w:pStyle w:val="BodyText"/>
      </w:pPr>
      <w:r>
        <w:t xml:space="preserve">Ms. Amina Hassan</w:t>
      </w:r>
    </w:p>
    <w:p>
      <w:pPr>
        <w:pStyle w:val="BodyText"/>
      </w:pPr>
      <w:r>
        <w:t xml:space="preserve">Sales Director</w:t>
      </w:r>
    </w:p>
    <w:p>
      <w:pPr>
        <w:pStyle w:val="BodyText"/>
      </w:pPr>
      <w:r>
        <w:t xml:space="preserve">Date: _______________</w:t>
      </w:r>
    </w:p>
    <w:p>
      <w:pPr>
        <w:pStyle w:val="BodyText"/>
      </w:pPr>
      <w:r>
        <w:t xml:space="preserve">This Purchase Order document is issued in the Republic of Kenya, Nairobi. It constitutes a binding agreement between the parties upon execution. All references to "Banker" in this document pertain to the professional banking officers and staff of the purchasing institution. All deliveries and services are to be performed within the Kenya Nairobi metropolitan area unless otherwise specified in writing.</w:t>
      </w:r>
    </w:p>
    <w:p>
      <w:pPr>
        <w:pStyle w:val="BodyText"/>
      </w:pPr>
      <w:r>
        <w:t xml:space="preserve">Document Reference: KEN-NBO-BNK-2025-04872 | Page 1 of 1 | Confidential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Equipment and Services - Kenya Nairobi</dc:title>
  <dc:creator/>
  <dc:language>en</dc:language>
  <cp:keywords/>
  <dcterms:created xsi:type="dcterms:W3CDTF">2026-10-10T01:22:47Z</dcterms:created>
  <dcterms:modified xsi:type="dcterms:W3CDTF">2026-10-10T01:22:47Z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