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Banker Equipment, Furniture &amp; Professional Services</w:t>
      </w:r>
    </w:p>
    <w:p>
      <w:pPr>
        <w:pStyle w:val="BodyText"/>
      </w:pPr>
      <w:r>
        <w:t xml:space="preserve">Kuwait Kuwait City | Kingdom of Kuwait</w:t>
      </w:r>
    </w:p>
    <w:bookmarkEnd w:id="20"/>
    <w:p>
      <w:pPr>
        <w:pStyle w:val="BodyText"/>
      </w:pPr>
      <w:r>
        <w:rPr>
          <w:bCs/>
          <w:b/>
        </w:rPr>
        <w:t xml:space="preserve">Purchase Order No.:</w:t>
      </w:r>
      <w:r>
        <w:t xml:space="preserve"> </w:t>
      </w:r>
      <w:r>
        <w:t xml:space="preserve">PO-KWT-2025-04872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PO Reference:</w:t>
      </w:r>
      <w:r>
        <w:t xml:space="preserve"> </w:t>
      </w:r>
      <w:r>
        <w:t xml:space="preserve">BKR-KC-2025-0091</w:t>
      </w:r>
      <w:r>
        <w:br/>
      </w:r>
      <w:r>
        <w:rPr>
          <w:bCs/>
          <w:b/>
        </w:rPr>
        <w:t xml:space="preserve">Payment Terms:</w:t>
      </w:r>
      <w:r>
        <w:t xml:space="preserve"> </w:t>
      </w:r>
      <w:r>
        <w:t xml:space="preserve">Net 30 Days</w:t>
      </w:r>
      <w:r>
        <w:br/>
      </w:r>
      <w:r>
        <w:rPr>
          <w:bCs/>
          <w:b/>
        </w:rPr>
        <w:t xml:space="preserve">Currency:</w:t>
      </w:r>
      <w:r>
        <w:t xml:space="preserve"> </w:t>
      </w:r>
      <w:r>
        <w:t xml:space="preserve">Kuwaiti Dinar (KWD)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(Supplier / Banker)</w:t>
            </w:r>
          </w:p>
        </w:tc>
      </w:tr>
      <w:tr>
        <w:tc>
          <w:tcPr/>
          <w:p>
            <w:pPr>
              <w:pStyle w:val="Compact"/>
              <w:jc w:val="left"/>
            </w:pPr>
            <w:r>
              <w:rPr>
                <w:bCs/>
                <w:b/>
              </w:rPr>
              <w:t xml:space="preserve">Al-Nakheel Financial Group</w:t>
            </w:r>
            <w:r>
              <w:br/>
            </w:r>
            <w:r>
              <w:t xml:space="preserve">Office 12, 4th Floor, Kuwait Towers</w:t>
            </w:r>
            <w:r>
              <w:br/>
            </w:r>
            <w:r>
              <w:t xml:space="preserve">Kuwait Kuwait City, P.O. Box 2847</w:t>
            </w:r>
            <w:r>
              <w:br/>
            </w:r>
            <w:r>
              <w:t xml:space="preserve">Kingdom of Kuwait</w:t>
            </w:r>
            <w:r>
              <w:br/>
            </w:r>
            <w:r>
              <w:t xml:space="preserve">Contact: Mr. Salem Al-Rashidi, Procurement Director</w:t>
            </w:r>
            <w:r>
              <w:br/>
            </w:r>
            <w:r>
              <w:t xml:space="preserve">Email: procurement@alnakheel.kw</w:t>
            </w:r>
            <w:r>
              <w:br/>
            </w:r>
            <w:r>
              <w:t xml:space="preserve">Tel: +965-2244-8800</w:t>
            </w:r>
          </w:p>
        </w:tc>
        <w:tc>
          <w:tcPr/>
          <w:p>
            <w:pPr>
              <w:pStyle w:val="Compact"/>
              <w:jc w:val="left"/>
            </w:pPr>
            <w:r>
              <w:rPr>
                <w:bCs/>
                <w:b/>
              </w:rPr>
              <w:t xml:space="preserve">Banker &amp; Associates Trading W.L.L.</w:t>
            </w:r>
            <w:r>
              <w:br/>
            </w:r>
            <w:r>
              <w:t xml:space="preserve">Commercial Street, Block 7</w:t>
            </w:r>
            <w:r>
              <w:br/>
            </w:r>
            <w:r>
              <w:t xml:space="preserve">Kuwait Kuwait City, P.O. Box 5512</w:t>
            </w:r>
            <w:r>
              <w:br/>
            </w:r>
            <w:r>
              <w:t xml:space="preserve">Kingdom of Kuwait</w:t>
            </w:r>
            <w:r>
              <w:br/>
            </w:r>
            <w:r>
              <w:t xml:space="preserve">Contact: Ms. Fatima Al-Harbi, Account Manager</w:t>
            </w:r>
            <w:r>
              <w:br/>
            </w:r>
            <w:r>
              <w:t xml:space="preserve">Email: sales@bankerandassociates.kw</w:t>
            </w:r>
            <w:r>
              <w:br/>
            </w:r>
            <w:r>
              <w:t xml:space="preserve">Tel: +965-2477-3321</w:t>
            </w:r>
          </w:p>
        </w:tc>
      </w:tr>
    </w:tbl>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Al-Nakheel Financial Group for the procurement of professional</w:t>
      </w:r>
      <w:r>
        <w:t xml:space="preserve"> </w:t>
      </w:r>
      <w:r>
        <w:t xml:space="preserve">Banker</w:t>
      </w:r>
      <w:r>
        <w:t xml:space="preserve"> </w:t>
      </w:r>
      <w:r>
        <w:t xml:space="preserve">equipment, executive furniture, and related services to be delivered and installed at the buyer's primary office premises located in</w:t>
      </w:r>
      <w:r>
        <w:t xml:space="preserve"> </w:t>
      </w:r>
      <w:r>
        <w:t xml:space="preserve">Kuwait Kuwait City</w:t>
      </w:r>
      <w:r>
        <w:t xml:space="preserve">. The</w:t>
      </w:r>
      <w:r>
        <w:t xml:space="preserve"> </w:t>
      </w:r>
      <w:r>
        <w:t xml:space="preserve">Banker</w:t>
      </w:r>
      <w:r>
        <w:t xml:space="preserve"> </w:t>
      </w:r>
      <w:r>
        <w:t xml:space="preserve">supplier, Banker &amp; Associates Trading W.L.L., has been selected following a competitive tender process conducted in accordance with Kuwaiti commercial regulations. All items listed below are to be delivered to the designated site in</w:t>
      </w:r>
      <w:r>
        <w:t xml:space="preserve"> </w:t>
      </w:r>
      <w:r>
        <w:t xml:space="preserve">Kuwait Kuwait City</w:t>
      </w:r>
      <w:r>
        <w:t xml:space="preserve"> </w:t>
      </w:r>
      <w:r>
        <w:t xml:space="preserve">within the timeframe specified in Section 5 of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Executive Banker's Desk Lamp (Brass, 24-inch, with green glass shade) – for senior Banker offices in Kuwait Kuwait City</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Banker's Box – Heavy-Duty Document Storage (24-inch, fire-resistant, with locking mechanism) – for records management at the Kuwait Kuwait City branch</w:t>
            </w:r>
          </w:p>
        </w:tc>
        <w:tc>
          <w:tcPr/>
          <w:p>
            <w:pPr>
              <w:pStyle w:val="Compact"/>
              <w:jc w:val="left"/>
            </w:pPr>
            <w:r>
              <w:t xml:space="preserve">30</w:t>
            </w:r>
          </w:p>
        </w:tc>
        <w:tc>
          <w:tcPr/>
          <w:p>
            <w:pPr>
              <w:pStyle w:val="Compact"/>
              <w:jc w:val="left"/>
            </w:pPr>
            <w:r>
              <w:t xml:space="preserve">42.50</w:t>
            </w:r>
          </w:p>
        </w:tc>
        <w:tc>
          <w:tcPr/>
          <w:p>
            <w:pPr>
              <w:pStyle w:val="Compact"/>
              <w:jc w:val="left"/>
            </w:pPr>
            <w:r>
              <w:t xml:space="preserve">1,275.00</w:t>
            </w:r>
          </w:p>
        </w:tc>
      </w:tr>
      <w:tr>
        <w:tc>
          <w:tcPr/>
          <w:p>
            <w:pPr>
              <w:pStyle w:val="Compact"/>
              <w:jc w:val="left"/>
            </w:pPr>
            <w:r>
              <w:t xml:space="preserve">03</w:t>
            </w:r>
          </w:p>
        </w:tc>
        <w:tc>
          <w:tcPr/>
          <w:p>
            <w:pPr>
              <w:pStyle w:val="Compact"/>
              <w:jc w:val="left"/>
            </w:pPr>
            <w:r>
              <w:t xml:space="preserve">Banker's Executive Leather Chair (Full-grain, ergonomic, with lumbar support) – for the Banker's private consultation room</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04</w:t>
            </w:r>
          </w:p>
        </w:tc>
        <w:tc>
          <w:tcPr/>
          <w:p>
            <w:pPr>
              <w:pStyle w:val="Compact"/>
              <w:jc w:val="left"/>
            </w:pPr>
            <w:r>
              <w:t xml:space="preserve">Banker's Writing Set (Mahogany desk organizer, brass pen holder, leather blotter, and letterhead tray)</w:t>
            </w:r>
          </w:p>
        </w:tc>
        <w:tc>
          <w:tcPr/>
          <w:p>
            <w:pPr>
              <w:pStyle w:val="Compact"/>
              <w:jc w:val="left"/>
            </w:pPr>
            <w:r>
              <w:t xml:space="preserve">15</w:t>
            </w:r>
          </w:p>
        </w:tc>
        <w:tc>
          <w:tcPr/>
          <w:p>
            <w:pPr>
              <w:pStyle w:val="Compact"/>
              <w:jc w:val="left"/>
            </w:pPr>
            <w:r>
              <w:t xml:space="preserve">110.00</w:t>
            </w:r>
          </w:p>
        </w:tc>
        <w:tc>
          <w:tcPr/>
          <w:p>
            <w:pPr>
              <w:pStyle w:val="Compact"/>
              <w:jc w:val="left"/>
            </w:pPr>
            <w:r>
              <w:t xml:space="preserve">1,650.00</w:t>
            </w:r>
          </w:p>
        </w:tc>
      </w:tr>
      <w:tr>
        <w:tc>
          <w:tcPr/>
          <w:p>
            <w:pPr>
              <w:pStyle w:val="Compact"/>
              <w:jc w:val="left"/>
            </w:pPr>
            <w:r>
              <w:t xml:space="preserve">05</w:t>
            </w:r>
          </w:p>
        </w:tc>
        <w:tc>
          <w:tcPr/>
          <w:p>
            <w:pPr>
              <w:pStyle w:val="Compact"/>
              <w:jc w:val="left"/>
            </w:pPr>
            <w:r>
              <w:t xml:space="preserve">Professional Banker's Briefcase (Full-grain Italian leather, double compartment, with lock and key)</w:t>
            </w:r>
          </w:p>
        </w:tc>
        <w:tc>
          <w:tcPr/>
          <w:p>
            <w:pPr>
              <w:pStyle w:val="Compact"/>
              <w:jc w:val="left"/>
            </w:pPr>
            <w:r>
              <w:t xml:space="preserve">20</w:t>
            </w:r>
          </w:p>
        </w:tc>
        <w:tc>
          <w:tcPr/>
          <w:p>
            <w:pPr>
              <w:pStyle w:val="Compact"/>
              <w:jc w:val="left"/>
            </w:pPr>
            <w:r>
              <w:t xml:space="preserve">195.00</w:t>
            </w:r>
          </w:p>
        </w:tc>
        <w:tc>
          <w:tcPr/>
          <w:p>
            <w:pPr>
              <w:pStyle w:val="Compact"/>
              <w:jc w:val="left"/>
            </w:pPr>
            <w:r>
              <w:t xml:space="preserve">3,900.00</w:t>
            </w:r>
          </w:p>
        </w:tc>
      </w:tr>
      <w:tr>
        <w:tc>
          <w:tcPr/>
          <w:p>
            <w:pPr>
              <w:pStyle w:val="Compact"/>
              <w:jc w:val="left"/>
            </w:pPr>
            <w:r>
              <w:t xml:space="preserve">06</w:t>
            </w:r>
          </w:p>
        </w:tc>
        <w:tc>
          <w:tcPr/>
          <w:p>
            <w:pPr>
              <w:pStyle w:val="Compact"/>
              <w:jc w:val="left"/>
            </w:pPr>
            <w:r>
              <w:t xml:space="preserve">Banker's Wall Clock (Antique brass, 16-inch, with Westminster chime) – for the main Banker reception area in Kuwait Kuwait City</w:t>
            </w:r>
          </w:p>
        </w:tc>
        <w:tc>
          <w:tcPr/>
          <w:p>
            <w:pPr>
              <w:pStyle w:val="Compact"/>
              <w:jc w:val="left"/>
            </w:pPr>
            <w:r>
              <w:t xml:space="preserve">4</w:t>
            </w:r>
          </w:p>
        </w:tc>
        <w:tc>
          <w:tcPr/>
          <w:p>
            <w:pPr>
              <w:pStyle w:val="Compact"/>
              <w:jc w:val="left"/>
            </w:pPr>
            <w:r>
              <w:t xml:space="preserve">275.00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Installation, calibration, and on-site setup services for all Banker equipment at the Kuwait Kuwait City premises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Two-year comprehensive warranty and maintenance plan for all Banker items listed in this Purchase Order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w:t>
            </w:r>
          </w:p>
        </w:tc>
        <w:tc>
          <w:tcPr/>
          <w:p>
            <w:pPr>
              <w:pStyle w:val="Compact"/>
              <w:jc w:val="left"/>
            </w:pPr>
            <w:r>
              <w:t xml:space="preserve">13,955.00</w:t>
            </w:r>
          </w:p>
        </w:tc>
      </w:tr>
      <w:tr>
        <w:tc>
          <w:tcPr>
            <w:gridSpan w:val="4"/>
          </w:tcPr>
          <w:p>
            <w:pPr>
              <w:pStyle w:val="Compact"/>
              <w:jc w:val="right"/>
            </w:pPr>
            <w:r>
              <w:t xml:space="preserve">VAT (5% – Kuwait)</w:t>
            </w:r>
          </w:p>
        </w:tc>
        <w:tc>
          <w:tcPr/>
          <w:p>
            <w:pPr>
              <w:pStyle w:val="Compact"/>
              <w:jc w:val="left"/>
            </w:pPr>
            <w:r>
              <w:t xml:space="preserve">697.75</w:t>
            </w:r>
          </w:p>
        </w:tc>
      </w:tr>
      <w:tr>
        <w:tc>
          <w:tcPr>
            <w:gridSpan w:val="4"/>
          </w:tcPr>
          <w:p>
            <w:pPr>
              <w:pStyle w:val="Compact"/>
              <w:jc w:val="right"/>
            </w:pPr>
            <w:r>
              <w:t xml:space="preserve">GRAND TOTAL (KWD)</w:t>
            </w:r>
          </w:p>
        </w:tc>
        <w:tc>
          <w:tcPr/>
          <w:p>
            <w:pPr>
              <w:pStyle w:val="Compact"/>
              <w:jc w:val="left"/>
            </w:pPr>
            <w:r>
              <w:t xml:space="preserve">14,652.75</w:t>
            </w:r>
          </w:p>
        </w:tc>
      </w:tr>
    </w:tbl>
    <w:p>
      <w:pPr>
        <w:pStyle w:val="BodyText"/>
      </w:pPr>
      <w:r>
        <w:t xml:space="preserve">3. Delivery and Installation</w:t>
      </w:r>
    </w:p>
    <w:p>
      <w:pPr>
        <w:pStyle w:val="BodyText"/>
      </w:pPr>
      <w:r>
        <w:t xml:space="preserve">All goods and services referenced in this</w:t>
      </w:r>
      <w:r>
        <w:t xml:space="preserve"> </w:t>
      </w:r>
      <w:r>
        <w:t xml:space="preserve">Purchase Order</w:t>
      </w:r>
      <w:r>
        <w:t xml:space="preserve"> </w:t>
      </w:r>
      <w:r>
        <w:t xml:space="preserve">shall be delivered to the buyer's office at Kuwait Towers,</w:t>
      </w:r>
      <w:r>
        <w:t xml:space="preserve"> </w:t>
      </w:r>
      <w:r>
        <w:t xml:space="preserve">Kuwait Kuwait City</w:t>
      </w:r>
      <w:r>
        <w:t xml:space="preserve">, Kingdom of Kuwait. The</w:t>
      </w:r>
      <w:r>
        <w:t xml:space="preserve"> </w:t>
      </w:r>
      <w:r>
        <w:t xml:space="preserve">Banker</w:t>
      </w:r>
      <w:r>
        <w:t xml:space="preserve"> </w:t>
      </w:r>
      <w:r>
        <w:t xml:space="preserve">supplier, Banker &amp; Associates Trading W.L.L., is responsible for all transportation, handling, and insurance of goods from the point of dispatch to the final delivery location in</w:t>
      </w:r>
      <w:r>
        <w:t xml:space="preserve"> </w:t>
      </w:r>
      <w:r>
        <w:t xml:space="preserve">Kuwait Kuwait City</w:t>
      </w:r>
      <w:r>
        <w:t xml:space="preserve">. Delivery shall be completed no later than 25 June 2025. Installation and on-site setup of all</w:t>
      </w:r>
      <w:r>
        <w:t xml:space="preserve"> </w:t>
      </w:r>
      <w:r>
        <w:t xml:space="preserve">Banker</w:t>
      </w:r>
      <w:r>
        <w:t xml:space="preserve"> </w:t>
      </w:r>
      <w:r>
        <w:t xml:space="preserve">equipment shall be performed by qualified technicians from the supplier's team, who must present valid work permits and identification upon arrival at the</w:t>
      </w:r>
      <w:r>
        <w:t xml:space="preserve"> </w:t>
      </w:r>
      <w:r>
        <w:t xml:space="preserve">Kuwait Kuwait City</w:t>
      </w:r>
      <w:r>
        <w:t xml:space="preserve"> </w:t>
      </w:r>
      <w:r>
        <w:t xml:space="preserve">site. The buyer's site supervisor, Mr. Salem Al-Rashidi, shall be the sole point of contact for all delivery and installation coordination in</w:t>
      </w:r>
      <w:r>
        <w:t xml:space="preserve"> </w:t>
      </w:r>
      <w:r>
        <w:t xml:space="preserve">Kuwait Kuwait City</w:t>
      </w:r>
      <w:r>
        <w:t xml:space="preserve">.</w:t>
      </w:r>
    </w:p>
    <w:p>
      <w:pPr>
        <w:pStyle w:val="BodyText"/>
      </w:pPr>
      <w:r>
        <w:t xml:space="preserve">4. Payment Terms and Conditions</w:t>
      </w:r>
    </w:p>
    <w:p>
      <w:pPr>
        <w:pStyle w:val="BodyText"/>
      </w:pPr>
      <w:r>
        <w:t xml:space="preserve">Payment for this</w:t>
      </w:r>
      <w:r>
        <w:t xml:space="preserve"> </w:t>
      </w:r>
      <w:r>
        <w:t xml:space="preserve">Purchase Order</w:t>
      </w:r>
      <w:r>
        <w:t xml:space="preserve"> </w:t>
      </w:r>
      <w:r>
        <w:t xml:space="preserve">shall be made in Kuwaiti Dinars (KWD) via bank transfer to the</w:t>
      </w:r>
      <w:r>
        <w:t xml:space="preserve"> </w:t>
      </w:r>
      <w:r>
        <w:t xml:space="preserve">Banker</w:t>
      </w:r>
      <w:r>
        <w:t xml:space="preserve"> </w:t>
      </w:r>
      <w:r>
        <w:t xml:space="preserve">supplier's designated account at National Bank of Kuwait,</w:t>
      </w:r>
      <w:r>
        <w:t xml:space="preserve"> </w:t>
      </w:r>
      <w:r>
        <w:t xml:space="preserve">Kuwait Kuwait City</w:t>
      </w:r>
      <w:r>
        <w:t xml:space="preserve"> </w:t>
      </w:r>
      <w:r>
        <w:t xml:space="preserve">branch. The total amount of KWD 14,652.75 is due within thirty (30) calendar days from the date of successful delivery and written acceptance by the buyer. A 5% late payment penalty shall apply to any overdue balance. The</w:t>
      </w:r>
      <w:r>
        <w:t xml:space="preserve"> </w:t>
      </w:r>
      <w:r>
        <w:t xml:space="preserve">Banker</w:t>
      </w:r>
      <w:r>
        <w:t xml:space="preserve"> </w:t>
      </w:r>
      <w:r>
        <w:t xml:space="preserve">supplier must provide a valid tax invoice and a copy of the commercial registration certificate issued by the Ministry of Commerce and Industry, Kingdom of Kuwait, prior to processing of payment. All transactions under this</w:t>
      </w:r>
      <w:r>
        <w:t xml:space="preserve"> </w:t>
      </w:r>
      <w:r>
        <w:t xml:space="preserve">Purchase Order</w:t>
      </w:r>
      <w:r>
        <w:t xml:space="preserve"> </w:t>
      </w:r>
      <w:r>
        <w:t xml:space="preserve">are subject to the laws of the State of Kuwait and shall be governed by Kuwaiti commercial law.</w:t>
      </w:r>
    </w:p>
    <w:p>
      <w:pPr>
        <w:pStyle w:val="BodyText"/>
      </w:pPr>
      <w:r>
        <w:t xml:space="preserve">5. Quality Assurance and Acceptance</w:t>
      </w:r>
    </w:p>
    <w:p>
      <w:pPr>
        <w:pStyle w:val="BodyText"/>
      </w:pPr>
      <w:r>
        <w:t xml:space="preserve">Upon delivery to the</w:t>
      </w:r>
      <w:r>
        <w:t xml:space="preserve"> </w:t>
      </w:r>
      <w:r>
        <w:t xml:space="preserve">Kuwait Kuwait City</w:t>
      </w:r>
      <w:r>
        <w:t xml:space="preserve"> </w:t>
      </w:r>
      <w:r>
        <w:t xml:space="preserve">premises, the buyer shall have a period of five (5) business days to inspect all</w:t>
      </w:r>
      <w:r>
        <w:t xml:space="preserve"> </w:t>
      </w:r>
      <w:r>
        <w:t xml:space="preserve">Banker</w:t>
      </w:r>
      <w:r>
        <w:t xml:space="preserve"> </w:t>
      </w:r>
      <w:r>
        <w:t xml:space="preserve">items for quality, completeness, and conformity with the specifications outlined in this</w:t>
      </w:r>
      <w:r>
        <w:t xml:space="preserve"> </w:t>
      </w:r>
      <w:r>
        <w:t xml:space="preserve">Purchase Order</w:t>
      </w:r>
      <w:r>
        <w:t xml:space="preserve">. Any defects, damages, or discrepancies must be reported in writing to the</w:t>
      </w:r>
      <w:r>
        <w:t xml:space="preserve"> </w:t>
      </w:r>
      <w:r>
        <w:t xml:space="preserve">Banker</w:t>
      </w:r>
      <w:r>
        <w:t xml:space="preserve"> </w:t>
      </w:r>
      <w:r>
        <w:t xml:space="preserve">supplier within this inspection window. The supplier shall rectify or replace any non-conforming items at no additional cost to the buyer within ten (10) business days of the defect report. Failure to meet the quality standards specified herein shall entitle the buyer to reject the affected items and request a full or partial refund as appropriate.</w:t>
      </w:r>
    </w:p>
    <w:p>
      <w:pPr>
        <w:pStyle w:val="BodyText"/>
      </w:pPr>
      <w:r>
        <w:t xml:space="preserve">6. General Terms</w:t>
      </w:r>
    </w:p>
    <w:p>
      <w:pPr>
        <w:pStyle w:val="BodyText"/>
      </w:pPr>
      <w:r>
        <w:t xml:space="preserve">This</w:t>
      </w:r>
      <w:r>
        <w:t xml:space="preserve"> </w:t>
      </w:r>
      <w:r>
        <w:t xml:space="preserve">Purchase Order</w:t>
      </w:r>
      <w:r>
        <w:t xml:space="preserve"> </w:t>
      </w:r>
      <w:r>
        <w:t xml:space="preserve">constitutes a binding agreement between the buyer and the</w:t>
      </w:r>
      <w:r>
        <w:t xml:space="preserve"> </w:t>
      </w:r>
      <w:r>
        <w:t xml:space="preserve">Banker</w:t>
      </w:r>
      <w:r>
        <w:t xml:space="preserve"> </w:t>
      </w:r>
      <w:r>
        <w:t xml:space="preserve">supplier upon signature by both parties. Neither party may assign or transfer its obligations under this</w:t>
      </w:r>
      <w:r>
        <w:t xml:space="preserve"> </w:t>
      </w:r>
      <w:r>
        <w:t xml:space="preserve">Purchase Order</w:t>
      </w:r>
      <w:r>
        <w:t xml:space="preserve"> </w:t>
      </w:r>
      <w:r>
        <w:t xml:space="preserve">without the prior written consent of the other party. All communications regarding this</w:t>
      </w:r>
      <w:r>
        <w:t xml:space="preserve"> </w:t>
      </w:r>
      <w:r>
        <w:t xml:space="preserve">Purchase Order</w:t>
      </w:r>
      <w:r>
        <w:t xml:space="preserve"> </w:t>
      </w:r>
      <w:r>
        <w:t xml:space="preserve">shall be directed to the addresses listed in Section 1. In the event of any dispute arising from the interpretation or execution of this</w:t>
      </w:r>
      <w:r>
        <w:t xml:space="preserve"> </w:t>
      </w:r>
      <w:r>
        <w:t xml:space="preserve">Purchase Order</w:t>
      </w:r>
      <w:r>
        <w:t xml:space="preserve">, both parties agree to first attempt resolution through good-faith negotiation. Should negotiation fail, the dispute shall be referred to the competent courts in</w:t>
      </w:r>
      <w:r>
        <w:t xml:space="preserve"> </w:t>
      </w:r>
      <w:r>
        <w:t xml:space="preserve">Kuwait Kuwait City</w:t>
      </w:r>
      <w:r>
        <w:t xml:space="preserve">, Kingdom of Kuwait. This</w:t>
      </w:r>
      <w:r>
        <w:t xml:space="preserve"> </w:t>
      </w:r>
      <w:r>
        <w:t xml:space="preserve">Purchase Order</w:t>
      </w:r>
      <w:r>
        <w:t xml:space="preserve"> </w:t>
      </w:r>
      <w:r>
        <w:t xml:space="preserve">is valid for a period of thirty (30) days from the date of issue. Any amendments or modifications to this</w:t>
      </w:r>
      <w:r>
        <w:t xml:space="preserve"> </w:t>
      </w:r>
      <w:r>
        <w:t xml:space="preserve">Purchase Order</w:t>
      </w:r>
      <w:r>
        <w:t xml:space="preserve"> </w:t>
      </w:r>
      <w:r>
        <w:t xml:space="preserve">must be made in writing and signed by authorized representatives of both the buyer and the</w:t>
      </w:r>
      <w:r>
        <w:t xml:space="preserve"> </w:t>
      </w:r>
      <w:r>
        <w:t xml:space="preserve">Banker</w:t>
      </w:r>
      <w:r>
        <w:t xml:space="preserve"> </w:t>
      </w:r>
      <w:r>
        <w:t xml:space="preserve">supplier.</w:t>
      </w:r>
    </w:p>
    <w:p>
      <w:pPr>
        <w:pStyle w:val="BodyText"/>
      </w:pPr>
      <w:r>
        <w:rPr>
          <w:bCs/>
          <w:b/>
        </w:rPr>
        <w:t xml:space="preserve">For and on behalf of the Buyer</w:t>
      </w:r>
      <w:r>
        <w:br/>
      </w:r>
      <w:r>
        <w:t xml:space="preserve">Al-Nakheel Financial Group</w:t>
      </w:r>
      <w:r>
        <w:br/>
      </w:r>
      <w:r>
        <w:t xml:space="preserve">Name: Salem Al-Rashidi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Banker Supplier</w:t>
      </w:r>
      <w:r>
        <w:br/>
      </w:r>
      <w:r>
        <w:t xml:space="preserve">Banker &amp; Associates Trading W.L.L.</w:t>
      </w:r>
      <w:r>
        <w:br/>
      </w:r>
      <w:r>
        <w:t xml:space="preserve">Name: Fatima Al-Harbi</w:t>
      </w:r>
      <w:r>
        <w:br/>
      </w:r>
      <w:r>
        <w:t xml:space="preserve">Title: Account Manager</w:t>
      </w:r>
      <w:r>
        <w:br/>
      </w:r>
      <w:r>
        <w:t xml:space="preserve">Signature: _________________________</w:t>
      </w:r>
      <w:r>
        <w:br/>
      </w:r>
      <w:r>
        <w:t xml:space="preserve">Date: _________________________</w:t>
      </w:r>
    </w:p>
    <w:p>
      <w:pPr>
        <w:pStyle w:val="BodyText"/>
      </w:pPr>
      <w:r>
        <w:t xml:space="preserve">This Purchase Order (PO-KWT-2025-04872) was prepared and issued in Kuwait Kuwait City, Kingdom of Kuwait. All terms are subject to Kuwaiti law. Document reference: BKR-KC-2025-0091. For inquiries, contact the Procurement Department at Al-Nakheel Financial Group,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and Equipment - Kuwait Kuwait City</dc:title>
  <dc:creator/>
  <dc:language>en</dc:language>
  <cp:keywords/>
  <dcterms:created xsi:type="dcterms:W3CDTF">2026-10-10T03:50:42Z</dcterms:created>
  <dcterms:modified xsi:type="dcterms:W3CDTF">2026-10-10T03:50:42Z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