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Malaysia Kuala Lumpur</w:t>
      </w:r>
    </w:p>
    <w:bookmarkEnd w:id="20"/>
    <w:p>
      <w:pPr>
        <w:pStyle w:val="BodyText"/>
      </w:pPr>
      <w:r>
        <w:t xml:space="preserve">PO No.: KL-BNK-2025-04782</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Financial Holdings Sdn. Bhd.</w:t>
      </w:r>
    </w:p>
    <w:p>
      <w:pPr>
        <w:pStyle w:val="BodyText"/>
      </w:pPr>
      <w:r>
        <w:rPr>
          <w:bCs/>
          <w:b/>
        </w:rPr>
        <w:t xml:space="preserve">Address:</w:t>
      </w:r>
      <w:r>
        <w:t xml:space="preserve"> </w:t>
      </w:r>
      <w:r>
        <w:t xml:space="preserve">Level 32, Menara Banker, Jalan Sultan Ismail,</w:t>
      </w:r>
      <w:r>
        <w:br/>
      </w:r>
      <w:r>
        <w:t xml:space="preserve">Bukit Bintang, 50250 Kuala Lumpur, Malaysia</w:t>
      </w:r>
    </w:p>
    <w:p>
      <w:pPr>
        <w:pStyle w:val="BodyText"/>
      </w:pPr>
      <w:r>
        <w:rPr>
          <w:bCs/>
          <w:b/>
        </w:rPr>
        <w:t xml:space="preserve">Registration No.:</w:t>
      </w:r>
      <w:r>
        <w:t xml:space="preserve"> </w:t>
      </w:r>
      <w:r>
        <w:t xml:space="preserve">201901045678 (K)</w:t>
      </w:r>
    </w:p>
    <w:p>
      <w:pPr>
        <w:pStyle w:val="BodyText"/>
      </w:pPr>
      <w:r>
        <w:rPr>
          <w:bCs/>
          <w:b/>
        </w:rPr>
        <w:t xml:space="preserve">Company Secretary:</w:t>
      </w:r>
      <w:r>
        <w:t xml:space="preserve"> </w:t>
      </w:r>
      <w:r>
        <w:t xml:space="preserve">Tan Wei Ling</w:t>
      </w:r>
    </w:p>
    <w:p>
      <w:pPr>
        <w:pStyle w:val="BodyText"/>
      </w:pPr>
      <w:r>
        <w:rPr>
          <w:bCs/>
          <w:b/>
        </w:rPr>
        <w:t xml:space="preserve">Contact:</w:t>
      </w:r>
      <w:r>
        <w:t xml:space="preserve"> </w:t>
      </w:r>
      <w:r>
        <w:t xml:space="preserve">procurement@meridianfh.com.my</w:t>
      </w:r>
    </w:p>
    <w:p>
      <w:pPr>
        <w:pStyle w:val="BodyText"/>
      </w:pPr>
      <w:r>
        <w:rPr>
          <w:bCs/>
          <w:b/>
        </w:rPr>
        <w:t xml:space="preserve">Phone:</w:t>
      </w:r>
      <w:r>
        <w:t xml:space="preserve"> </w:t>
      </w:r>
      <w:r>
        <w:t xml:space="preserve">+60 3-2180 4567</w:t>
      </w:r>
    </w:p>
    <w:bookmarkEnd w:id="21"/>
    <w:bookmarkStart w:id="22" w:name="seller-supplier-banker-provider"/>
    <w:p>
      <w:pPr>
        <w:pStyle w:val="Heading3"/>
      </w:pPr>
      <w:r>
        <w:t xml:space="preserve">SELLER (Supplier / Banker Provider)</w:t>
      </w:r>
    </w:p>
    <w:p>
      <w:pPr>
        <w:pStyle w:val="FirstParagraph"/>
      </w:pPr>
      <w:r>
        <w:rPr>
          <w:bCs/>
          <w:b/>
        </w:rPr>
        <w:t xml:space="preserve">Company:</w:t>
      </w:r>
      <w:r>
        <w:t xml:space="preserve"> </w:t>
      </w:r>
      <w:r>
        <w:t xml:space="preserve">BankerTech Solutions (M) Sdn. Bhd.</w:t>
      </w:r>
    </w:p>
    <w:p>
      <w:pPr>
        <w:pStyle w:val="BodyText"/>
      </w:pPr>
      <w:r>
        <w:rPr>
          <w:bCs/>
          <w:b/>
        </w:rPr>
        <w:t xml:space="preserve">Address:</w:t>
      </w:r>
      <w:r>
        <w:t xml:space="preserve"> </w:t>
      </w:r>
      <w:r>
        <w:t xml:space="preserve">Unit 8-02, Level 8, The Exchange TRX,</w:t>
      </w:r>
      <w:r>
        <w:br/>
      </w:r>
      <w:r>
        <w:t xml:space="preserve">18 Jalan P. Ramlee, 50250 Kuala Lumpur, Malaysia</w:t>
      </w:r>
    </w:p>
    <w:p>
      <w:pPr>
        <w:pStyle w:val="BodyText"/>
      </w:pPr>
      <w:r>
        <w:rPr>
          <w:bCs/>
          <w:b/>
        </w:rPr>
        <w:t xml:space="preserve">Registration No.:</w:t>
      </w:r>
      <w:r>
        <w:t xml:space="preserve"> </w:t>
      </w:r>
      <w:r>
        <w:t xml:space="preserve">201501234567 (K)</w:t>
      </w:r>
    </w:p>
    <w:p>
      <w:pPr>
        <w:pStyle w:val="BodyText"/>
      </w:pPr>
      <w:r>
        <w:rPr>
          <w:bCs/>
          <w:b/>
        </w:rPr>
        <w:t xml:space="preserve">Authorized Representative:</w:t>
      </w:r>
      <w:r>
        <w:t xml:space="preserve"> </w:t>
      </w:r>
      <w:r>
        <w:t xml:space="preserve">Ahmad Faizal bin Rahman</w:t>
      </w:r>
    </w:p>
    <w:p>
      <w:pPr>
        <w:pStyle w:val="BodyText"/>
      </w:pPr>
      <w:r>
        <w:rPr>
          <w:bCs/>
          <w:b/>
        </w:rPr>
        <w:t xml:space="preserve">Contact:</w:t>
      </w:r>
      <w:r>
        <w:t xml:space="preserve"> </w:t>
      </w:r>
      <w:r>
        <w:t xml:space="preserve">sales@bankertech.my</w:t>
      </w:r>
    </w:p>
    <w:p>
      <w:pPr>
        <w:pStyle w:val="BodyText"/>
      </w:pPr>
      <w:r>
        <w:rPr>
          <w:bCs/>
          <w:b/>
        </w:rPr>
        <w:t xml:space="preserve">Phone:</w:t>
      </w:r>
      <w:r>
        <w:t xml:space="preserve"> </w:t>
      </w:r>
      <w:r>
        <w:t xml:space="preserve">+60 3-2288 9012</w:t>
      </w:r>
    </w:p>
    <w:bookmarkEnd w:id="22"/>
    <w:bookmarkStart w:id="23" w:name="delivery-service-location"/>
    <w:p>
      <w:pPr>
        <w:pStyle w:val="Heading3"/>
      </w:pPr>
      <w:r>
        <w:t xml:space="preserve">DELIVERY / SERVICE LOCATION</w:t>
      </w:r>
    </w:p>
    <w:p>
      <w:pPr>
        <w:pStyle w:val="FirstParagraph"/>
      </w:pPr>
      <w:r>
        <w:rPr>
          <w:bCs/>
          <w:b/>
        </w:rPr>
        <w:t xml:space="preserve">Primary Site:</w:t>
      </w:r>
      <w:r>
        <w:t xml:space="preserve"> </w:t>
      </w:r>
      <w:r>
        <w:t xml:space="preserve">Meridian Financial Holdings Head Office,</w:t>
      </w:r>
      <w:r>
        <w:br/>
      </w:r>
      <w:r>
        <w:t xml:space="preserve">Level 32, Menara Banker, Jalan Sultan Ismail,</w:t>
      </w:r>
      <w:r>
        <w:br/>
      </w:r>
      <w:r>
        <w:t xml:space="preserve">50250 Kuala Lumpur, Malaysia</w:t>
      </w:r>
    </w:p>
    <w:p>
      <w:pPr>
        <w:pStyle w:val="BodyText"/>
      </w:pPr>
      <w:r>
        <w:rPr>
          <w:bCs/>
          <w:b/>
        </w:rPr>
        <w:t xml:space="preserve">Secondary Site:</w:t>
      </w:r>
      <w:r>
        <w:t xml:space="preserve"> </w:t>
      </w:r>
      <w:r>
        <w:t xml:space="preserve">Branch Office, Level 5, Bangsar South,</w:t>
      </w:r>
      <w:r>
        <w:br/>
      </w:r>
      <w:r>
        <w:t xml:space="preserve">59000 Kuala Lumpur, Malaysia</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(TT)</w:t>
      </w:r>
    </w:p>
    <w:p>
      <w:pPr>
        <w:pStyle w:val="BodyText"/>
      </w:pPr>
      <w:r>
        <w:rPr>
          <w:bCs/>
          <w:b/>
        </w:rPr>
        <w:t xml:space="preserve">Bank:</w:t>
      </w:r>
      <w:r>
        <w:t xml:space="preserve"> </w:t>
      </w:r>
      <w:r>
        <w:t xml:space="preserve">Maybank Berhad, KL Central Branch</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Malaysian Ringgit (MYR / RM)</w:t>
      </w:r>
    </w:p>
    <w:bookmarkEnd w:id="24"/>
    <w:bookmarkStart w:id="26" w:name="items-and-services-ordered"/>
    <w:p>
      <w:pPr>
        <w:pStyle w:val="Heading2"/>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Banker Product / Service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Enterprise Banker Core Banking System – Full License (perpetual), including all modules for retail banking, corporate banking, and treasury management</w:t>
            </w:r>
          </w:p>
        </w:tc>
        <w:tc>
          <w:tcPr/>
          <w:p>
            <w:pPr>
              <w:pStyle w:val="Compact"/>
              <w:jc w:val="left"/>
            </w:pPr>
            <w:r>
              <w:t xml:space="preserve">1</w:t>
            </w:r>
          </w:p>
        </w:tc>
        <w:tc>
          <w:tcPr/>
          <w:p>
            <w:pPr>
              <w:pStyle w:val="Compact"/>
              <w:jc w:val="left"/>
            </w:pPr>
            <w:r>
              <w:t xml:space="preserve">RM 2,450,000.00</w:t>
            </w:r>
          </w:p>
        </w:tc>
        <w:tc>
          <w:tcPr/>
          <w:p>
            <w:pPr>
              <w:pStyle w:val="Compact"/>
              <w:jc w:val="left"/>
            </w:pPr>
            <w:r>
              <w:t xml:space="preserve">RM 2,450,000.00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Banker ATM &amp; Cash Management Terminal (Model BT-9000) – Hardware installation and calibration for Kuala Lumpur branch network</w:t>
            </w:r>
          </w:p>
        </w:tc>
        <w:tc>
          <w:tcPr/>
          <w:p>
            <w:pPr>
              <w:pStyle w:val="Compact"/>
              <w:jc w:val="left"/>
            </w:pPr>
            <w:r>
              <w:t xml:space="preserve">12</w:t>
            </w:r>
          </w:p>
        </w:tc>
        <w:tc>
          <w:tcPr/>
          <w:p>
            <w:pPr>
              <w:pStyle w:val="Compact"/>
              <w:jc w:val="left"/>
            </w:pPr>
            <w:r>
              <w:t xml:space="preserve">RM 185,000.00</w:t>
            </w:r>
          </w:p>
        </w:tc>
        <w:tc>
          <w:tcPr/>
          <w:p>
            <w:pPr>
              <w:pStyle w:val="Compact"/>
              <w:jc w:val="left"/>
            </w:pPr>
            <w:r>
              <w:t xml:space="preserve">RM 2,220,000.00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Banker Digital Banking Platform – Mobile and Internet Banking Application Development, UI/UX design, and security compliance (Bank Negara Malaysia guidelines)</w:t>
            </w:r>
          </w:p>
        </w:tc>
        <w:tc>
          <w:tcPr/>
          <w:p>
            <w:pPr>
              <w:pStyle w:val="Compact"/>
              <w:jc w:val="left"/>
            </w:pPr>
            <w:r>
              <w:t xml:space="preserve">1</w:t>
            </w:r>
          </w:p>
        </w:tc>
        <w:tc>
          <w:tcPr/>
          <w:p>
            <w:pPr>
              <w:pStyle w:val="Compact"/>
              <w:jc w:val="left"/>
            </w:pPr>
            <w:r>
              <w:t xml:space="preserve">RM 1,875,000.00</w:t>
            </w:r>
          </w:p>
        </w:tc>
        <w:tc>
          <w:tcPr/>
          <w:p>
            <w:pPr>
              <w:pStyle w:val="Compact"/>
              <w:jc w:val="left"/>
            </w:pPr>
            <w:r>
              <w:t xml:space="preserve">RM 1,875,000.00</w:t>
            </w:r>
          </w:p>
        </w:tc>
        <w:tc>
          <w:tcPr/>
          <w:p>
            <w:pPr>
              <w:pStyle w:val="Compact"/>
              <w:jc w:val="left"/>
            </w:pPr>
            <w:r>
              <w:t xml:space="preserve">1 August 2025</w:t>
            </w:r>
          </w:p>
        </w:tc>
      </w:tr>
      <w:tr>
        <w:tc>
          <w:tcPr/>
          <w:p>
            <w:pPr>
              <w:pStyle w:val="Compact"/>
              <w:jc w:val="left"/>
            </w:pPr>
            <w:r>
              <w:t xml:space="preserve">4</w:t>
            </w:r>
          </w:p>
        </w:tc>
        <w:tc>
          <w:tcPr/>
          <w:p>
            <w:pPr>
              <w:pStyle w:val="Compact"/>
              <w:jc w:val="left"/>
            </w:pPr>
            <w:r>
              <w:t xml:space="preserve">Banker Risk Management &amp; Compliance Software Suite – AML/KYC modules, transaction monitoring, and regulatory reporting tools aligned with Malaysian Anti-Money Laundering Act 2001</w:t>
            </w:r>
          </w:p>
        </w:tc>
        <w:tc>
          <w:tcPr/>
          <w:p>
            <w:pPr>
              <w:pStyle w:val="Compact"/>
              <w:jc w:val="left"/>
            </w:pPr>
            <w:r>
              <w:t xml:space="preserve">1</w:t>
            </w:r>
          </w:p>
        </w:tc>
        <w:tc>
          <w:tcPr/>
          <w:p>
            <w:pPr>
              <w:pStyle w:val="Compact"/>
              <w:jc w:val="left"/>
            </w:pPr>
            <w:r>
              <w:t xml:space="preserve">RM 960,000.00</w:t>
            </w:r>
          </w:p>
        </w:tc>
        <w:tc>
          <w:tcPr/>
          <w:p>
            <w:pPr>
              <w:pStyle w:val="Compact"/>
              <w:jc w:val="left"/>
            </w:pPr>
            <w:r>
              <w:t xml:space="preserve">RM 960,000.00</w:t>
            </w:r>
          </w:p>
        </w:tc>
        <w:tc>
          <w:tcPr/>
          <w:p>
            <w:pPr>
              <w:pStyle w:val="Compact"/>
              <w:jc w:val="left"/>
            </w:pPr>
            <w:r>
              <w:t xml:space="preserve">1 August 2025</w:t>
            </w:r>
          </w:p>
        </w:tc>
      </w:tr>
      <w:tr>
        <w:tc>
          <w:tcPr/>
          <w:p>
            <w:pPr>
              <w:pStyle w:val="Compact"/>
              <w:jc w:val="left"/>
            </w:pPr>
            <w:r>
              <w:t xml:space="preserve">5</w:t>
            </w:r>
          </w:p>
        </w:tc>
        <w:tc>
          <w:tcPr/>
          <w:p>
            <w:pPr>
              <w:pStyle w:val="Compact"/>
              <w:jc w:val="left"/>
            </w:pPr>
            <w:r>
              <w:t xml:space="preserve">Annual Banker System Maintenance, Technical Support, and 24/7 Helpdesk Service (Year 1)</w:t>
            </w:r>
          </w:p>
        </w:tc>
        <w:tc>
          <w:tcPr/>
          <w:p>
            <w:pPr>
              <w:pStyle w:val="Compact"/>
              <w:jc w:val="left"/>
            </w:pPr>
            <w:r>
              <w:t xml:space="preserve">1</w:t>
            </w:r>
          </w:p>
        </w:tc>
        <w:tc>
          <w:tcPr/>
          <w:p>
            <w:pPr>
              <w:pStyle w:val="Compact"/>
              <w:jc w:val="left"/>
            </w:pPr>
            <w:r>
              <w:t xml:space="preserve">RM 420,000.00</w:t>
            </w:r>
          </w:p>
        </w:tc>
        <w:tc>
          <w:tcPr/>
          <w:p>
            <w:pPr>
              <w:pStyle w:val="Compact"/>
              <w:jc w:val="left"/>
            </w:pPr>
            <w:r>
              <w:t xml:space="preserve">RM 420,000.00</w:t>
            </w:r>
          </w:p>
        </w:tc>
        <w:tc>
          <w:tcPr/>
          <w:p>
            <w:pPr>
              <w:pStyle w:val="Compact"/>
              <w:jc w:val="left"/>
            </w:pPr>
            <w:r>
              <w:t xml:space="preserve">1 July 2025</w:t>
            </w:r>
          </w:p>
        </w:tc>
      </w:tr>
      <w:tr>
        <w:tc>
          <w:tcPr/>
          <w:p>
            <w:pPr>
              <w:pStyle w:val="Compact"/>
              <w:jc w:val="left"/>
            </w:pPr>
            <w:r>
              <w:t xml:space="preserve">6</w:t>
            </w:r>
          </w:p>
        </w:tc>
        <w:tc>
          <w:tcPr/>
          <w:p>
            <w:pPr>
              <w:pStyle w:val="Compact"/>
              <w:jc w:val="left"/>
            </w:pPr>
            <w:r>
              <w:t xml:space="preserve">Banker Staff Training Programme – 40-hour on-site training for 60 bank officers at Kuala Lumpur headquarters, covering system operations, security protocols, and customer service workflows</w:t>
            </w:r>
          </w:p>
        </w:tc>
        <w:tc>
          <w:tcPr/>
          <w:p>
            <w:pPr>
              <w:pStyle w:val="Compact"/>
              <w:jc w:val="left"/>
            </w:pPr>
            <w:r>
              <w:t xml:space="preserve">1</w:t>
            </w:r>
          </w:p>
        </w:tc>
        <w:tc>
          <w:tcPr/>
          <w:p>
            <w:pPr>
              <w:pStyle w:val="Compact"/>
              <w:jc w:val="left"/>
            </w:pPr>
            <w:r>
              <w:t xml:space="preserve">RM 148,000.00</w:t>
            </w:r>
          </w:p>
        </w:tc>
        <w:tc>
          <w:tcPr/>
          <w:p>
            <w:pPr>
              <w:pStyle w:val="Compact"/>
              <w:jc w:val="left"/>
            </w:pPr>
            <w:r>
              <w:t xml:space="preserve">RM 148,000.00</w:t>
            </w:r>
          </w:p>
        </w:tc>
        <w:tc>
          <w:tcPr/>
          <w:p>
            <w:pPr>
              <w:pStyle w:val="Compact"/>
              <w:jc w:val="left"/>
            </w:pPr>
            <w:r>
              <w:t xml:space="preserve">10 August 2025</w:t>
            </w:r>
          </w:p>
        </w:tc>
      </w:tr>
      <w:tr>
        <w:tc>
          <w:tcPr/>
          <w:p>
            <w:pPr>
              <w:pStyle w:val="Compact"/>
              <w:jc w:val="left"/>
            </w:pPr>
            <w:r>
              <w:t xml:space="preserve">7</w:t>
            </w:r>
          </w:p>
        </w:tc>
        <w:tc>
          <w:tcPr/>
          <w:p>
            <w:pPr>
              <w:pStyle w:val="Compact"/>
              <w:jc w:val="left"/>
            </w:pPr>
            <w:r>
              <w:t xml:space="preserve">Banker Data Centre Infrastructure – Server racks, redundant power systems, and network security appliances for on-premise deployment in Kuala Lumpur</w:t>
            </w:r>
          </w:p>
        </w:tc>
        <w:tc>
          <w:tcPr/>
          <w:p>
            <w:pPr>
              <w:pStyle w:val="Compact"/>
              <w:jc w:val="left"/>
            </w:pPr>
            <w:r>
              <w:t xml:space="preserve">1</w:t>
            </w:r>
          </w:p>
        </w:tc>
        <w:tc>
          <w:tcPr/>
          <w:p>
            <w:pPr>
              <w:pStyle w:val="Compact"/>
              <w:jc w:val="left"/>
            </w:pPr>
            <w:r>
              <w:t xml:space="preserve">RM 780,000.00</w:t>
            </w:r>
          </w:p>
        </w:tc>
        <w:tc>
          <w:tcPr/>
          <w:p>
            <w:pPr>
              <w:pStyle w:val="Compact"/>
              <w:jc w:val="left"/>
            </w:pPr>
            <w:r>
              <w:t xml:space="preserve">RM 780,000.00</w:t>
            </w:r>
          </w:p>
        </w:tc>
        <w:tc>
          <w:tcPr/>
          <w:p>
            <w:pPr>
              <w:pStyle w:val="Compact"/>
              <w:jc w:val="left"/>
            </w:pPr>
            <w:r>
              <w:t xml:space="preserve">20 July 2025</w:t>
            </w:r>
          </w:p>
        </w:tc>
      </w:tr>
      <w:tr>
        <w:tc>
          <w:tcPr>
            <w:gridSpan w:val="4"/>
          </w:tcPr>
          <w:p>
            <w:pPr>
              <w:pStyle w:val="Compact"/>
              <w:jc w:val="right"/>
            </w:pPr>
            <w:r>
              <w:t xml:space="preserve">SUBTOTAL</w:t>
            </w:r>
          </w:p>
        </w:tc>
        <w:tc>
          <w:tcPr/>
          <w:p>
            <w:pPr>
              <w:pStyle w:val="Compact"/>
              <w:jc w:val="left"/>
            </w:pPr>
            <w:r>
              <w:t xml:space="preserve">RM 8,853,000.00</w:t>
            </w:r>
          </w:p>
        </w:tc>
        <w:tc>
          <w:tcPr/>
          <w:p>
            <w:pPr>
              <w:pStyle w:val="Compact"/>
            </w:pPr>
          </w:p>
        </w:tc>
      </w:tr>
      <w:tr>
        <w:tc>
          <w:tcPr>
            <w:gridSpan w:val="4"/>
          </w:tcPr>
          <w:p>
            <w:pPr>
              <w:pStyle w:val="Compact"/>
              <w:jc w:val="right"/>
            </w:pPr>
            <w:r>
              <w:t xml:space="preserve">Sales &amp; Service Tax (SST) @ 6%</w:t>
            </w:r>
          </w:p>
        </w:tc>
        <w:tc>
          <w:tcPr/>
          <w:p>
            <w:pPr>
              <w:pStyle w:val="Compact"/>
              <w:jc w:val="left"/>
            </w:pPr>
            <w:r>
              <w:t xml:space="preserve">RM 531,180.00</w:t>
            </w:r>
          </w:p>
        </w:tc>
        <w:tc>
          <w:tcPr/>
          <w:p>
            <w:pPr>
              <w:pStyle w:val="Compact"/>
            </w:pPr>
          </w:p>
        </w:tc>
      </w:tr>
      <w:tr>
        <w:tc>
          <w:tcPr>
            <w:gridSpan w:val="4"/>
          </w:tcPr>
          <w:p>
            <w:pPr>
              <w:pStyle w:val="Compact"/>
              <w:jc w:val="right"/>
            </w:pPr>
            <w:r>
              <w:t xml:space="preserve">GRAND TOTAL (MYR)</w:t>
            </w:r>
          </w:p>
        </w:tc>
        <w:tc>
          <w:tcPr/>
          <w:p>
            <w:pPr>
              <w:pStyle w:val="Compact"/>
              <w:jc w:val="left"/>
            </w:pPr>
            <w:r>
              <w:t xml:space="preserve">RM 9,384,180.00</w:t>
            </w:r>
          </w:p>
        </w:tc>
        <w:tc>
          <w:tcPr/>
          <w:p>
            <w:pPr>
              <w:pStyle w:val="Compact"/>
            </w:pPr>
          </w:p>
        </w:tc>
      </w:tr>
    </w:tbl>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specifically the Contracts Act 1950 and applicable regulations issued by Bank Negara Malaysia. Any disputes arising from this Purchase Order shall be subject to the exclusive jurisdiction of the courts in Kuala Lumpur, Malaysia.</w:t>
      </w:r>
    </w:p>
    <w:p>
      <w:pPr>
        <w:numPr>
          <w:ilvl w:val="0"/>
          <w:numId w:val="1001"/>
        </w:numPr>
        <w:pStyle w:val="Compact"/>
      </w:pPr>
      <w:r>
        <w:rPr>
          <w:bCs/>
          <w:b/>
        </w:rPr>
        <w:t xml:space="preserve">Banker Service Standards:</w:t>
      </w:r>
      <w:r>
        <w:t xml:space="preserve"> </w:t>
      </w:r>
      <w:r>
        <w:t xml:space="preserve">The Seller warrants that all Banker products, software, and services delivered under this Purchase Order shall conform to the specifications outlined in Annexure A (attached separately) and shall comply with all applicable standards set by Bank Negara Malaysia, including the Financial Services Act 2013 and the Anti-Money Laundering, Anti-Terrorism Financing and Proceeds of Unlawful Activities Act 2001.</w:t>
      </w:r>
    </w:p>
    <w:p>
      <w:pPr>
        <w:numPr>
          <w:ilvl w:val="0"/>
          <w:numId w:val="1001"/>
        </w:numPr>
        <w:pStyle w:val="Compact"/>
      </w:pPr>
      <w:r>
        <w:rPr>
          <w:bCs/>
          <w:b/>
        </w:rPr>
        <w:t xml:space="preserve">Delivery and Installation:</w:t>
      </w:r>
      <w:r>
        <w:t xml:space="preserve"> </w:t>
      </w:r>
      <w:r>
        <w:t xml:space="preserve">All hardware components and software systems shall be delivered, installed, and made operational at the designated Kuala Lumpur premises no later than the dates specified in the item table above. The Seller shall bear all costs associated with transportation, installation, and initial configuration within the Kuala Lumpur metropolitan area.</w:t>
      </w:r>
    </w:p>
    <w:p>
      <w:pPr>
        <w:numPr>
          <w:ilvl w:val="0"/>
          <w:numId w:val="1001"/>
        </w:numPr>
        <w:pStyle w:val="Compact"/>
      </w:pPr>
      <w:r>
        <w:rPr>
          <w:bCs/>
          <w:b/>
        </w:rPr>
        <w:t xml:space="preserve">Payment Schedule:</w:t>
      </w:r>
      <w:r>
        <w:t xml:space="preserve"> </w:t>
      </w:r>
      <w:r>
        <w:t xml:space="preserve">Payment shall be made in three (3) tranches: (a) 30% advance payment upon execution of this Purchase Order; (b) 50% upon successful delivery and installation of all Banker hardware and software systems; (c) 20% upon final acceptance and completion of the Banker staff training programme. All payments shall be made in Malaysian Ringgit (MYR) via bank transfer to the account specified above.</w:t>
      </w:r>
    </w:p>
    <w:p>
      <w:pPr>
        <w:numPr>
          <w:ilvl w:val="0"/>
          <w:numId w:val="1001"/>
        </w:numPr>
        <w:pStyle w:val="Compact"/>
      </w:pPr>
      <w:r>
        <w:rPr>
          <w:bCs/>
          <w:b/>
        </w:rPr>
        <w:t xml:space="preserve">Warranty and Support:</w:t>
      </w:r>
      <w:r>
        <w:t xml:space="preserve"> </w:t>
      </w:r>
      <w:r>
        <w:t xml:space="preserve">The Seller provides a comprehensive warranty of twenty-four (24) months from the date of final acceptance for all Banker hardware products and twelve (12) months for all software licenses. During the warranty period, the Seller shall provide prompt technical support and repair services at no additional cost to the Buyer.</w:t>
      </w:r>
    </w:p>
    <w:p>
      <w:pPr>
        <w:numPr>
          <w:ilvl w:val="0"/>
          <w:numId w:val="1001"/>
        </w:numPr>
        <w:pStyle w:val="Compact"/>
      </w:pPr>
      <w:r>
        <w:rPr>
          <w:bCs/>
          <w:b/>
        </w:rPr>
        <w:t xml:space="preserve">Confidentiality and Data Protection:</w:t>
      </w:r>
      <w:r>
        <w:t xml:space="preserve"> </w:t>
      </w:r>
      <w:r>
        <w:t xml:space="preserve">Both parties agree to maintain strict confidentiality regarding all proprietary information exchanged in connection with this Purchase Order. The Seller shall comply with the Personal Data Protection Act 2010 (PDPA) of Malaysia in handling any customer or employee data processed through the Banker systems.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Malaysia Kuala Lumpur.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other party that remains uncured within the notice period. Upon termination, the Buyer shall pay for all Banker services and goods already delivered and accepted.</w:t>
      </w:r>
    </w:p>
    <w:p>
      <w:pPr>
        <w:numPr>
          <w:ilvl w:val="0"/>
          <w:numId w:val="1001"/>
        </w:numPr>
        <w:pStyle w:val="Compact"/>
      </w:pPr>
      <w:r>
        <w:rPr>
          <w:bCs/>
          <w:b/>
        </w:rPr>
        <w:t xml:space="preserve">Intellectual Property:</w:t>
      </w:r>
      <w:r>
        <w:t xml:space="preserve"> </w:t>
      </w:r>
      <w:r>
        <w:t xml:space="preserve">All intellectual property rights in the Banker software, systems, and documentation remain the property of the Seller. The Buyer is granted a non-exclusive, non-transferable license to use the Banker systems solely for its internal banking operations in Malaysia.</w:t>
      </w:r>
    </w:p>
    <w:p>
      <w:pPr>
        <w:numPr>
          <w:ilvl w:val="0"/>
          <w:numId w:val="1001"/>
        </w:numPr>
        <w:pStyle w:val="Compact"/>
      </w:pPr>
      <w:r>
        <w:rPr>
          <w:bCs/>
          <w:b/>
        </w:rPr>
        <w:t xml:space="preserve">Amendments:</w:t>
      </w:r>
      <w:r>
        <w:t xml:space="preserve"> </w:t>
      </w:r>
      <w:r>
        <w:t xml:space="preserve">No amendment or modification to this Purchase Order shall be valid unless made in writing and signed by authorized representatives of both parties.</w:t>
      </w:r>
    </w:p>
    <w:bookmarkEnd w:id="25"/>
    <w:p>
      <w:pPr>
        <w:pStyle w:val="FirstParagraph"/>
      </w:pPr>
      <w:r>
        <w:rPr>
          <w:bCs/>
          <w:b/>
        </w:rPr>
        <w:t xml:space="preserve">FOR AND ON BEHALF OF THE BUYER</w:t>
      </w:r>
    </w:p>
    <w:p>
      <w:pPr>
        <w:pStyle w:val="BodyText"/>
      </w:pPr>
      <w:r>
        <w:t xml:space="preserve">Meridian Financial Holdings Sdn. Bhd.</w:t>
      </w:r>
    </w:p>
    <w:p>
      <w:pPr>
        <w:pStyle w:val="BodyText"/>
      </w:pPr>
      <w:r>
        <w:t xml:space="preserve">Name: Tan Wei Ling</w:t>
      </w:r>
    </w:p>
    <w:p>
      <w:pPr>
        <w:pStyle w:val="BodyText"/>
      </w:pPr>
      <w:r>
        <w:t xml:space="preserve">Designation: Company Secretary</w:t>
      </w:r>
    </w:p>
    <w:p>
      <w:pPr>
        <w:pStyle w:val="BodyText"/>
      </w:pPr>
      <w:r>
        <w:t xml:space="preserve">Date: _______________</w:t>
      </w:r>
    </w:p>
    <w:p>
      <w:pPr>
        <w:pStyle w:val="BodyText"/>
      </w:pPr>
      <w:r>
        <w:t xml:space="preserve">Company Stamp:</w:t>
      </w:r>
    </w:p>
    <w:p>
      <w:pPr>
        <w:pStyle w:val="BodyText"/>
      </w:pPr>
      <w:r>
        <w:rPr>
          <w:bCs/>
          <w:b/>
        </w:rPr>
        <w:t xml:space="preserve">FOR AND ON BEHALF OF THE SELLER</w:t>
      </w:r>
    </w:p>
    <w:p>
      <w:pPr>
        <w:pStyle w:val="BodyText"/>
      </w:pPr>
      <w:r>
        <w:t xml:space="preserve">BankerTech Solutions (M) Sdn. Bhd.</w:t>
      </w:r>
    </w:p>
    <w:p>
      <w:pPr>
        <w:pStyle w:val="BodyText"/>
      </w:pPr>
      <w:r>
        <w:t xml:space="preserve">Name: Ahmad Faizal bin Rahman</w:t>
      </w:r>
    </w:p>
    <w:p>
      <w:pPr>
        <w:pStyle w:val="BodyText"/>
      </w:pPr>
      <w:r>
        <w:t xml:space="preserve">Designation: Managing Director</w:t>
      </w:r>
    </w:p>
    <w:p>
      <w:pPr>
        <w:pStyle w:val="BodyText"/>
      </w:pPr>
      <w:r>
        <w:t xml:space="preserve">Date: _______________</w:t>
      </w:r>
    </w:p>
    <w:p>
      <w:pPr>
        <w:pStyle w:val="BodyText"/>
      </w:pPr>
      <w:r>
        <w:t xml:space="preserve">Company Stamp:</w:t>
      </w:r>
    </w:p>
    <w:p>
      <w:pPr>
        <w:pStyle w:val="BodyText"/>
      </w:pPr>
      <w:r>
        <w:t xml:space="preserve">This Purchase Order (PO No. KL-BNK-2025-04782) is issued by Meridian Financial Holdings Sdn. Bhd., Kuala Lumpur, Malaysia, for the procurement of Banker banking infrastructure, software systems, and professional services from BankerTech Solutions (M) Sdn. Bhd. This document constitutes a binding agreement upon signature by both parties. All references to "Banker" in this document pertain to the banking technology products, systems, and services as defined in the item descriptions above. This Purchase Order is valid only for transactions conducted within Malaysia, Kuala Lumpur, and is subject to Malaysian commercial and banking regulations.</w:t>
      </w:r>
    </w:p>
    <w:p>
      <w:pPr>
        <w:pStyle w:val="BodyText"/>
      </w:pPr>
      <w:r>
        <w:t xml:space="preserve">Document Reference: KL-BNK-2025-04782 | Page 1 of 1 | Confidential – For Authorized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Malaysia Kuala Lumpur</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