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purchase-order"/>
    <w:p>
      <w:pPr>
        <w:pStyle w:val="Heading1"/>
      </w:pPr>
      <w:r>
        <w:t xml:space="preserve">PURCHASE ORDER</w:t>
      </w:r>
    </w:p>
    <w:p>
      <w:pPr>
        <w:pStyle w:val="FirstParagraph"/>
      </w:pPr>
      <w:r>
        <w:t xml:space="preserve">Banker Professional Services — Mexico, Mexico City</w:t>
      </w:r>
    </w:p>
    <w:p>
      <w:pPr>
        <w:pStyle w:val="BodyText"/>
      </w:pPr>
      <w:r>
        <w:t xml:space="preserve">Documento de Pedido de Compra — Servicios de Banquero</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Incoterms:</w:t>
      </w:r>
      <w:r>
        <w:t xml:space="preserve"> </w:t>
      </w:r>
      <w:r>
        <w:t xml:space="preserve">DAP Mexico City</w:t>
      </w:r>
    </w:p>
    <w:p>
      <w:pPr>
        <w:pStyle w:val="BodyText"/>
      </w:pPr>
      <w:r>
        <w:t xml:space="preserve">Buyer Information (Ordenante)</w:t>
      </w:r>
    </w:p>
    <w:p>
      <w:pPr>
        <w:pStyle w:val="BodyText"/>
      </w:pPr>
      <w:r>
        <w:rPr>
          <w:bCs/>
          <w:b/>
        </w:rPr>
        <w:t xml:space="preserve">Company:</w:t>
      </w:r>
      <w:r>
        <w:t xml:space="preserve"> </w:t>
      </w:r>
      <w:r>
        <w:t xml:space="preserve">Grupo Financiero del Valle, S.A. de C.V.</w:t>
      </w:r>
      <w:r>
        <w:br/>
      </w:r>
      <w:r>
        <w:rPr>
          <w:bCs/>
          <w:b/>
        </w:rPr>
        <w:t xml:space="preserve">Address:</w:t>
      </w:r>
      <w:r>
        <w:t xml:space="preserve"> </w:t>
      </w:r>
      <w:r>
        <w:t xml:space="preserve">Av. Paseo de la Reforma No. 505, Piso 12, Col. Cuauhtémoc, C.P. 06500, Mexico City, Mexico</w:t>
      </w:r>
      <w:r>
        <w:br/>
      </w:r>
      <w:r>
        <w:rPr>
          <w:bCs/>
          <w:b/>
        </w:rPr>
        <w:t xml:space="preserve">RFC:</w:t>
      </w:r>
      <w:r>
        <w:t xml:space="preserve"> </w:t>
      </w:r>
      <w:r>
        <w:t xml:space="preserve">GFD050612AB1</w:t>
      </w:r>
      <w:r>
        <w:br/>
      </w:r>
      <w:r>
        <w:rPr>
          <w:bCs/>
          <w:b/>
        </w:rPr>
        <w:t xml:space="preserve">Contact Person:</w:t>
      </w:r>
      <w:r>
        <w:t xml:space="preserve"> </w:t>
      </w:r>
      <w:r>
        <w:t xml:space="preserve">Lic. María Fernanda Gutiérrez, Director of Procurement</w:t>
      </w:r>
      <w:r>
        <w:br/>
      </w:r>
      <w:r>
        <w:rPr>
          <w:bCs/>
          <w:b/>
        </w:rPr>
        <w:t xml:space="preserve">Email:</w:t>
      </w:r>
      <w:r>
        <w:t xml:space="preserve"> </w:t>
      </w:r>
      <w:r>
        <w:t xml:space="preserve">compras@grupofinvalle.mx</w:t>
      </w:r>
      <w:r>
        <w:br/>
      </w:r>
      <w:r>
        <w:rPr>
          <w:bCs/>
          <w:b/>
        </w:rPr>
        <w:t xml:space="preserve">Telephone:</w:t>
      </w:r>
      <w:r>
        <w:t xml:space="preserve"> </w:t>
      </w:r>
      <w:r>
        <w:t xml:space="preserve">+52 (55) 5264-8890</w:t>
      </w:r>
    </w:p>
    <w:p>
      <w:pPr>
        <w:pStyle w:val="BodyText"/>
      </w:pPr>
      <w:r>
        <w:t xml:space="preserve">Supplier / Banker Information (Proveedor / Banquero)</w:t>
      </w:r>
    </w:p>
    <w:p>
      <w:pPr>
        <w:pStyle w:val="BodyText"/>
      </w:pPr>
      <w:r>
        <w:rPr>
          <w:bCs/>
          <w:b/>
        </w:rPr>
        <w:t xml:space="preserve">Banker Name:</w:t>
      </w:r>
      <w:r>
        <w:t xml:space="preserve"> </w:t>
      </w:r>
      <w:r>
        <w:t xml:space="preserve">Ing. Ricardo Alejandro Mendoza Salazar, CFP, CFA</w:t>
      </w:r>
      <w:r>
        <w:br/>
      </w:r>
      <w:r>
        <w:rPr>
          <w:bCs/>
          <w:b/>
        </w:rPr>
        <w:t xml:space="preserve">Professional Title:</w:t>
      </w:r>
      <w:r>
        <w:t xml:space="preserve"> </w:t>
      </w:r>
      <w:r>
        <w:t xml:space="preserve">Senior Banker &amp; Financial Consultant</w:t>
      </w:r>
      <w:r>
        <w:br/>
      </w:r>
      <w:r>
        <w:rPr>
          <w:bCs/>
          <w:b/>
        </w:rPr>
        <w:t xml:space="preserve">Business Address:</w:t>
      </w:r>
      <w:r>
        <w:t xml:space="preserve"> </w:t>
      </w:r>
      <w:r>
        <w:t xml:space="preserve">Torre Corporativa Reforma, Av. Insurgentes Sur No. 1200, Piso 8, Col. Del Valle Centro, C.P. 03100, Mexico City, Mexico</w:t>
      </w:r>
      <w:r>
        <w:br/>
      </w:r>
      <w:r>
        <w:rPr>
          <w:bCs/>
          <w:b/>
        </w:rPr>
        <w:t xml:space="preserve">RFC:</w:t>
      </w:r>
      <w:r>
        <w:t xml:space="preserve"> </w:t>
      </w:r>
      <w:r>
        <w:t xml:space="preserve">MESR820415QX7</w:t>
      </w:r>
      <w:r>
        <w:br/>
      </w:r>
      <w:r>
        <w:rPr>
          <w:bCs/>
          <w:b/>
        </w:rPr>
        <w:t xml:space="preserve">Professional License No.:</w:t>
      </w:r>
      <w:r>
        <w:t xml:space="preserve"> </w:t>
      </w:r>
      <w:r>
        <w:t xml:space="preserve">CNBV-REG-2019-44782</w:t>
      </w:r>
      <w:r>
        <w:br/>
      </w:r>
      <w:r>
        <w:rPr>
          <w:bCs/>
          <w:b/>
        </w:rPr>
        <w:t xml:space="preserve">Email:</w:t>
      </w:r>
      <w:r>
        <w:t xml:space="preserve"> </w:t>
      </w:r>
      <w:r>
        <w:t xml:space="preserve">r.mendoza@banqueroconsultor.mx</w:t>
      </w:r>
      <w:r>
        <w:br/>
      </w:r>
      <w:r>
        <w:rPr>
          <w:bCs/>
          <w:b/>
        </w:rPr>
        <w:t xml:space="preserve">Telephone:</w:t>
      </w:r>
      <w:r>
        <w:t xml:space="preserve"> </w:t>
      </w:r>
      <w:r>
        <w:t xml:space="preserve">+52 (55) 5512-3344</w:t>
      </w:r>
    </w:p>
    <w:p>
      <w:pPr>
        <w:pStyle w:val="BodyText"/>
      </w:pPr>
      <w:r>
        <w:t xml:space="preserve">Description of Services — Banker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Banker Services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Comprehensive corporate banking advisory services provided by the Banker, including treasury management, liquidity planning, and interbank relationship coordination for Grupo Financiero del Valle, S.A. de C.V. in Mexico City.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Structured finance consulting by the Banker for the acquisition of commercial real estate in the Benito Juárez district of Mexico City, Mexico, including loan structuring, credit facility negotiation, and syndication coordination with participating banks.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Monthly financial reporting and compliance review conducted by the Banker in accordance with the regulations of the Comisión Nacional Bancaria y de Valores (CNBV) and the Banco de México (Banxico), ensuring full regulatory adherence for operations in Mexico City.</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Foreign exchange hedging strategy design and execution oversight by the Banker, covering USD/MXN and EUR/MXN exposure for the buyer's international trade operations based in Mexico City, Mexico.</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On-site due diligence and credit assessment by the Banker for three (3) prospective commercial lending facilities to be executed at the buyer's headquarters in the Polanco district, Mexico City, including preparation of detailed risk memos.</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gridSpan w:val="4"/>
          </w:tcPr>
          <w:p>
            <w:pPr>
              <w:pStyle w:val="Compact"/>
              <w:jc w:val="right"/>
            </w:pPr>
            <w:r>
              <w:t xml:space="preserve">SUBTOTAL</w:t>
            </w:r>
          </w:p>
        </w:tc>
        <w:tc>
          <w:tcPr/>
          <w:p>
            <w:pPr>
              <w:pStyle w:val="Compact"/>
              <w:jc w:val="left"/>
            </w:pPr>
            <w:r>
              <w:t xml:space="preserve">$1,039,000.00</w:t>
            </w:r>
          </w:p>
        </w:tc>
      </w:tr>
      <w:tr>
        <w:tc>
          <w:tcPr>
            <w:gridSpan w:val="4"/>
          </w:tcPr>
          <w:p>
            <w:pPr>
              <w:pStyle w:val="Compact"/>
              <w:jc w:val="right"/>
            </w:pPr>
            <w:r>
              <w:t xml:space="preserve">IVA (16% VAT - Mexico)</w:t>
            </w:r>
          </w:p>
        </w:tc>
        <w:tc>
          <w:tcPr/>
          <w:p>
            <w:pPr>
              <w:pStyle w:val="Compact"/>
              <w:jc w:val="left"/>
            </w:pPr>
            <w:r>
              <w:t xml:space="preserve">$166,240.00</w:t>
            </w:r>
          </w:p>
        </w:tc>
      </w:tr>
      <w:tr>
        <w:tc>
          <w:tcPr>
            <w:gridSpan w:val="4"/>
          </w:tcPr>
          <w:p>
            <w:pPr>
              <w:pStyle w:val="Compact"/>
              <w:jc w:val="right"/>
            </w:pPr>
            <w:r>
              <w:t xml:space="preserve">GRAND TOTAL (MXN)</w:t>
            </w:r>
          </w:p>
        </w:tc>
        <w:tc>
          <w:tcPr/>
          <w:p>
            <w:pPr>
              <w:pStyle w:val="Compact"/>
              <w:jc w:val="left"/>
            </w:pPr>
            <w:r>
              <w:t xml:space="preserve">$1,205,240.00</w:t>
            </w:r>
          </w:p>
        </w:tc>
      </w:tr>
    </w:tbl>
    <w:p>
      <w:pPr>
        <w:pStyle w:val="BodyText"/>
      </w:pPr>
      <w:r>
        <w:t xml:space="preserve">Terms and Conditions</w:t>
      </w:r>
    </w:p>
    <w:p>
      <w:pPr>
        <w:numPr>
          <w:ilvl w:val="0"/>
          <w:numId w:val="1001"/>
        </w:numPr>
        <w:pStyle w:val="Compact"/>
      </w:pPr>
      <w:r>
        <w:t xml:space="preserve">This Purchase Order is issued by Grupo Financiero del Valle, S.A. de C.V. (hereinafter "the Buyer"), a legal entity duly registered in Mexico City, Mexico, for the procurement of professional banking services rendered by the Banker identified above (hereinafter "the Supplier" or "the Banker").</w:t>
      </w:r>
    </w:p>
    <w:p>
      <w:pPr>
        <w:numPr>
          <w:ilvl w:val="0"/>
          <w:numId w:val="1001"/>
        </w:numPr>
        <w:pStyle w:val="Compact"/>
      </w:pPr>
      <w:r>
        <w:t xml:space="preserve">The Banker shall perform all services in strict compliance with the financial regulations established by the Comisión Nacional Bancaria y de Valores (CNBV), the Banco de México (Banxico), and the Ley General de Títulos y Operaciones de Crédito applicable in Mexico City, Mexico.</w:t>
      </w:r>
    </w:p>
    <w:p>
      <w:pPr>
        <w:numPr>
          <w:ilvl w:val="0"/>
          <w:numId w:val="1001"/>
        </w:numPr>
        <w:pStyle w:val="Compact"/>
      </w:pPr>
      <w:r>
        <w:t xml:space="preserve">All services described herein shall be executed at the Buyer's principal offices located in Mexico City, Mexico, unless otherwise agreed in writing by both parties. The Banker shall bear all travel and transportation costs within the Mexico City metropolitan area.</w:t>
      </w:r>
    </w:p>
    <w:p>
      <w:pPr>
        <w:numPr>
          <w:ilvl w:val="0"/>
          <w:numId w:val="1001"/>
        </w:numPr>
        <w:pStyle w:val="Compact"/>
      </w:pPr>
      <w:r>
        <w:t xml:space="preserve">Payment shall be made within thirty (30) calendar days from the date of receipt of a valid invoice (factura) issued by the Banker in accordance with the Mexican tax regulations (SAT). Payment shall be made via electronic bank transfer (SPEI) to the account designated by the Banker in Mexico City.</w:t>
      </w:r>
    </w:p>
    <w:p>
      <w:pPr>
        <w:numPr>
          <w:ilvl w:val="0"/>
          <w:numId w:val="1001"/>
        </w:numPr>
        <w:pStyle w:val="Compact"/>
      </w:pPr>
      <w:r>
        <w:t xml:space="preserve">The Banker warrants that all professional services shall be performed with the due diligence, expertise, and confidentiality expected of a licensed banker operating in Mexico City, Mexico, and in full compliance with the Código de Comercio and applicable civil and commercial laws of the State of Mexico City.</w:t>
      </w:r>
    </w:p>
    <w:p>
      <w:pPr>
        <w:numPr>
          <w:ilvl w:val="0"/>
          <w:numId w:val="1001"/>
        </w:numPr>
        <w:pStyle w:val="Compact"/>
      </w:pPr>
      <w:r>
        <w:t xml:space="preserve">Any modification to the scope, timeline, or pricing of this Purchase Order must be documented in a written addendum signed by both the Buyer's authorized representative and the Banker. Verbal agreements shall not be binding.</w:t>
      </w:r>
    </w:p>
    <w:p>
      <w:pPr>
        <w:numPr>
          <w:ilvl w:val="0"/>
          <w:numId w:val="1001"/>
        </w:numPr>
        <w:pStyle w:val="Compact"/>
      </w:pPr>
      <w:r>
        <w:t xml:space="preserve">In the event of a dispute arising from this Purchase Order, both parties agree to submit to the jurisdiction of the commercial courts of Mexico City, Mexico, and to attempt mediation before the Centro de Conciliación y Arbitraje de la Ciudad de México prior to initiating any litigation.</w:t>
      </w:r>
    </w:p>
    <w:p>
      <w:pPr>
        <w:numPr>
          <w:ilvl w:val="0"/>
          <w:numId w:val="1001"/>
        </w:numPr>
        <w:pStyle w:val="Compact"/>
      </w:pPr>
      <w:r>
        <w:t xml:space="preserve">The Banker shall maintain professional liability insurance with a minimum coverage of MXN $5,000,000.00 for the duration of this engagement, with the Buyer named as an additional insured party.</w:t>
      </w:r>
    </w:p>
    <w:p>
      <w:pPr>
        <w:numPr>
          <w:ilvl w:val="0"/>
          <w:numId w:val="1001"/>
        </w:numPr>
        <w:pStyle w:val="Compact"/>
      </w:pPr>
      <w:r>
        <w:t xml:space="preserve">All deliverables, reports, and financial analyses produced by the Banker under this Purchase Order shall be the exclusive property of the Buyer and shall be subject to the confidentiality obligations set forth in the Non-Disclosure Agreement (NDA) executed on June 1, 2025, in Mexico City, Mexico.</w:t>
      </w:r>
    </w:p>
    <w:p>
      <w:pPr>
        <w:numPr>
          <w:ilvl w:val="0"/>
          <w:numId w:val="1001"/>
        </w:numPr>
        <w:pStyle w:val="Compact"/>
      </w:pPr>
      <w:r>
        <w:t xml:space="preserve">This Purchase Order is governed by the laws of the United Mexican States, specifically the civil and commercial legislation applicable in Mexico City, Mexico. The United Nations Convention on Contracts for the International Sale of Goods (CISG) is expressly excluded.</w:t>
      </w:r>
    </w:p>
    <w:p>
      <w:pPr>
        <w:pStyle w:val="FirstParagraph"/>
      </w:pPr>
      <w:r>
        <w:t xml:space="preserve">Delivery and Performance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Responsible Party</w:t>
            </w:r>
          </w:p>
        </w:tc>
        <w:tc>
          <w:tcPr/>
          <w:p>
            <w:pPr>
              <w:pStyle w:val="Compact"/>
              <w:jc w:val="left"/>
            </w:pPr>
            <w:r>
              <w:t xml:space="preserve">Deadline</w:t>
            </w:r>
          </w:p>
        </w:tc>
        <w:tc>
          <w:tcPr/>
          <w:p>
            <w:pPr>
              <w:pStyle w:val="Compact"/>
              <w:jc w:val="left"/>
            </w:pPr>
            <w:r>
              <w:t xml:space="preserve">Location</w:t>
            </w:r>
          </w:p>
        </w:tc>
      </w:tr>
      <w:tr>
        <w:tc>
          <w:tcPr/>
          <w:p>
            <w:pPr>
              <w:pStyle w:val="Compact"/>
              <w:jc w:val="left"/>
            </w:pPr>
            <w:r>
              <w:t xml:space="preserve">Initial advisory engagement &amp; treasury review</w:t>
            </w:r>
          </w:p>
        </w:tc>
        <w:tc>
          <w:tcPr/>
          <w:p>
            <w:pPr>
              <w:pStyle w:val="Compact"/>
              <w:jc w:val="left"/>
            </w:pPr>
            <w:r>
              <w:t xml:space="preserve">Banker</w:t>
            </w:r>
          </w:p>
        </w:tc>
        <w:tc>
          <w:tcPr/>
          <w:p>
            <w:pPr>
              <w:pStyle w:val="Compact"/>
              <w:jc w:val="left"/>
            </w:pPr>
            <w:r>
              <w:t xml:space="preserve">June 20, 2025</w:t>
            </w:r>
          </w:p>
        </w:tc>
        <w:tc>
          <w:tcPr/>
          <w:p>
            <w:pPr>
              <w:pStyle w:val="Compact"/>
              <w:jc w:val="left"/>
            </w:pPr>
            <w:r>
              <w:t xml:space="preserve">Buyer HQ, Polanco, Mexico City</w:t>
            </w:r>
          </w:p>
        </w:tc>
      </w:tr>
      <w:tr>
        <w:tc>
          <w:tcPr/>
          <w:p>
            <w:pPr>
              <w:pStyle w:val="Compact"/>
              <w:jc w:val="left"/>
            </w:pPr>
            <w:r>
              <w:t xml:space="preserve">Structured finance proposal delivery</w:t>
            </w:r>
          </w:p>
        </w:tc>
        <w:tc>
          <w:tcPr/>
          <w:p>
            <w:pPr>
              <w:pStyle w:val="Compact"/>
              <w:jc w:val="left"/>
            </w:pPr>
            <w:r>
              <w:t xml:space="preserve">Banker</w:t>
            </w:r>
          </w:p>
        </w:tc>
        <w:tc>
          <w:tcPr/>
          <w:p>
            <w:pPr>
              <w:pStyle w:val="Compact"/>
              <w:jc w:val="left"/>
            </w:pPr>
            <w:r>
              <w:t xml:space="preserve">July 15, 2025</w:t>
            </w:r>
          </w:p>
        </w:tc>
        <w:tc>
          <w:tcPr/>
          <w:p>
            <w:pPr>
              <w:pStyle w:val="Compact"/>
              <w:jc w:val="left"/>
            </w:pPr>
            <w:r>
              <w:t xml:space="preserve">Buyer HQ, Polanco, Mexico City</w:t>
            </w:r>
          </w:p>
        </w:tc>
      </w:tr>
      <w:tr>
        <w:tc>
          <w:tcPr/>
          <w:p>
            <w:pPr>
              <w:pStyle w:val="Compact"/>
              <w:jc w:val="left"/>
            </w:pPr>
            <w:r>
              <w:t xml:space="preserve">Monthly compliance reports (6 cycles)</w:t>
            </w:r>
          </w:p>
        </w:tc>
        <w:tc>
          <w:tcPr/>
          <w:p>
            <w:pPr>
              <w:pStyle w:val="Compact"/>
              <w:jc w:val="left"/>
            </w:pPr>
            <w:r>
              <w:t xml:space="preserve">Banker</w:t>
            </w:r>
          </w:p>
        </w:tc>
        <w:tc>
          <w:tcPr/>
          <w:p>
            <w:pPr>
              <w:pStyle w:val="Compact"/>
              <w:jc w:val="left"/>
            </w:pPr>
            <w:r>
              <w:t xml:space="preserve">5th of each month</w:t>
            </w:r>
          </w:p>
        </w:tc>
        <w:tc>
          <w:tcPr/>
          <w:p>
            <w:pPr>
              <w:pStyle w:val="Compact"/>
              <w:jc w:val="left"/>
            </w:pPr>
            <w:r>
              <w:t xml:space="preserve">Remote / Mexico City</w:t>
            </w:r>
          </w:p>
        </w:tc>
      </w:tr>
      <w:tr>
        <w:tc>
          <w:tcPr/>
          <w:p>
            <w:pPr>
              <w:pStyle w:val="Compact"/>
              <w:jc w:val="left"/>
            </w:pPr>
            <w:r>
              <w:t xml:space="preserve">FX hedging strategy implementation</w:t>
            </w:r>
          </w:p>
        </w:tc>
        <w:tc>
          <w:tcPr/>
          <w:p>
            <w:pPr>
              <w:pStyle w:val="Compact"/>
              <w:jc w:val="left"/>
            </w:pPr>
            <w:r>
              <w:t xml:space="preserve">Banker</w:t>
            </w:r>
          </w:p>
        </w:tc>
        <w:tc>
          <w:tcPr/>
          <w:p>
            <w:pPr>
              <w:pStyle w:val="Compact"/>
              <w:jc w:val="left"/>
            </w:pPr>
            <w:r>
              <w:t xml:space="preserve">August 1, 2025</w:t>
            </w:r>
          </w:p>
        </w:tc>
        <w:tc>
          <w:tcPr/>
          <w:p>
            <w:pPr>
              <w:pStyle w:val="Compact"/>
              <w:jc w:val="left"/>
            </w:pPr>
            <w:r>
              <w:t xml:space="preserve">Buyer HQ, Polanco, Mexico City</w:t>
            </w:r>
          </w:p>
        </w:tc>
      </w:tr>
      <w:tr>
        <w:tc>
          <w:tcPr/>
          <w:p>
            <w:pPr>
              <w:pStyle w:val="Compact"/>
              <w:jc w:val="left"/>
            </w:pPr>
            <w:r>
              <w:t xml:space="preserve">Final due diligence reports (3 facilities)</w:t>
            </w:r>
          </w:p>
        </w:tc>
        <w:tc>
          <w:tcPr/>
          <w:p>
            <w:pPr>
              <w:pStyle w:val="Compact"/>
              <w:jc w:val="left"/>
            </w:pPr>
            <w:r>
              <w:t xml:space="preserve">Banker</w:t>
            </w:r>
          </w:p>
        </w:tc>
        <w:tc>
          <w:tcPr/>
          <w:p>
            <w:pPr>
              <w:pStyle w:val="Compact"/>
              <w:jc w:val="left"/>
            </w:pPr>
            <w:r>
              <w:t xml:space="preserve">September 15, 2025</w:t>
            </w:r>
          </w:p>
        </w:tc>
        <w:tc>
          <w:tcPr/>
          <w:p>
            <w:pPr>
              <w:pStyle w:val="Compact"/>
              <w:jc w:val="left"/>
            </w:pPr>
            <w:r>
              <w:t xml:space="preserve">Buyer HQ, Polanco, Mexico City</w:t>
            </w:r>
          </w:p>
        </w:tc>
      </w:tr>
    </w:tbl>
    <w:p>
      <w:pPr>
        <w:pStyle w:val="BodyText"/>
      </w:pPr>
      <w:r>
        <w:rPr>
          <w:bCs/>
          <w:b/>
        </w:rPr>
        <w:t xml:space="preserve">For the Buyer:</w:t>
      </w:r>
      <w:r>
        <w:br/>
      </w:r>
      <w:r>
        <w:t xml:space="preserve">Grupo Financiero del Valle, S.A. de C.V.</w:t>
      </w:r>
      <w:r>
        <w:br/>
      </w:r>
      <w:r>
        <w:br/>
      </w:r>
    </w:p>
    <w:p>
      <w:pPr>
        <w:pStyle w:val="BodyText"/>
      </w:pPr>
      <w:r>
        <w:t xml:space="preserve">Lic. María Fernanda Gutiérrez</w:t>
      </w:r>
      <w:r>
        <w:br/>
      </w:r>
      <w:r>
        <w:t xml:space="preserve">Director of Procurement</w:t>
      </w:r>
      <w:r>
        <w:br/>
      </w:r>
      <w:r>
        <w:t xml:space="preserve">Date: _______________</w:t>
      </w:r>
    </w:p>
    <w:p>
      <w:pPr>
        <w:pStyle w:val="BodyText"/>
      </w:pPr>
      <w:r>
        <w:rPr>
          <w:bCs/>
          <w:b/>
        </w:rPr>
        <w:t xml:space="preserve">For the Banker (Supplier):</w:t>
      </w:r>
      <w:r>
        <w:br/>
      </w:r>
      <w:r>
        <w:t xml:space="preserve">Ing. Ricardo Alejandro Mendoza Salazar</w:t>
      </w:r>
      <w:r>
        <w:br/>
      </w:r>
      <w:r>
        <w:br/>
      </w:r>
    </w:p>
    <w:p>
      <w:pPr>
        <w:pStyle w:val="BodyText"/>
      </w:pPr>
      <w:r>
        <w:t xml:space="preserve">Ing. Ricardo A. Mendoza Salazar</w:t>
      </w:r>
      <w:r>
        <w:br/>
      </w:r>
      <w:r>
        <w:t xml:space="preserve">Senior Banker &amp; Financial Consultant</w:t>
      </w:r>
      <w:r>
        <w:br/>
      </w:r>
      <w:r>
        <w:t xml:space="preserve">Date: _______________</w:t>
      </w:r>
    </w:p>
    <w:p>
      <w:pPr>
        <w:pStyle w:val="BodyText"/>
      </w:pPr>
      <w:r>
        <w:t xml:space="preserve">This Purchase Order (PO-MX-2025-04872) is a legally binding document issued in Mexico City, Mexico. It is valid for a period of thirty (30) days from the date of issue. Any questions regarding this document should be directed to the Buyer's Procurement Department at compras@grupofinvalle.mx or the Banker at r.mendoza@banqueroconsultor.mx. This document is printed in the Federal District of Mexico City, Mexico, and is subject to the commercial and civil laws of the United Mexican States.</w:t>
      </w:r>
    </w:p>
    <w:p>
      <w:pPr>
        <w:pStyle w:val="BodyText"/>
      </w:pPr>
      <w:r>
        <w:t xml:space="preserve">© 2025 Grupo Financiero del Valle, S.A. de C.V. — All Rights Reserved.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Mexico City, Mexico</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