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Banking Advisory &amp; Financial Services — Auckland, New Zealand</w:t>
      </w:r>
    </w:p>
    <w:p>
      <w:pPr>
        <w:pStyle w:val="BodyText"/>
      </w:pPr>
      <w:r>
        <w:rPr>
          <w:bCs/>
          <w:b/>
        </w:rPr>
        <w:t xml:space="preserve">Purchaser (Buyer):</w:t>
      </w:r>
      <w:r>
        <w:br/>
      </w:r>
      <w:r>
        <w:t xml:space="preserve">Auckland Commercial Holdings Limited</w:t>
      </w:r>
      <w:r>
        <w:br/>
      </w:r>
      <w:r>
        <w:t xml:space="preserve">Level 12, 100 Queen Street</w:t>
      </w:r>
      <w:r>
        <w:br/>
      </w:r>
      <w:r>
        <w:t xml:space="preserve">Auckland 1010, New Zealand</w:t>
      </w:r>
      <w:r>
        <w:br/>
      </w:r>
      <w:r>
        <w:t xml:space="preserve">NZBN: 942904123456789</w:t>
      </w:r>
      <w:r>
        <w:br/>
      </w:r>
      <w:r>
        <w:t xml:space="preserve">GST Number: 123-456-789</w:t>
      </w:r>
      <w:r>
        <w:br/>
      </w:r>
      <w:r>
        <w:t xml:space="preserve">Contact: procurement@aucklandcommercial.co.nz</w:t>
      </w:r>
      <w:r>
        <w:br/>
      </w:r>
      <w:r>
        <w:t xml:space="preserve">Phone: +64 9 374 5500</w:t>
      </w:r>
    </w:p>
    <w:p>
      <w:pPr>
        <w:pStyle w:val="BodyText"/>
      </w:pPr>
      <w:r>
        <w:rPr>
          <w:bCs/>
          <w:b/>
        </w:rPr>
        <w:t xml:space="preserve">Supplier (Banker):</w:t>
      </w:r>
      <w:r>
        <w:br/>
      </w:r>
      <w:r>
        <w:t xml:space="preserve">Mr. Jonathan R. Whitfield, CFA, CFP</w:t>
      </w:r>
      <w:r>
        <w:br/>
      </w:r>
      <w:r>
        <w:t xml:space="preserve">Whitfield Banking Advisory Group</w:t>
      </w:r>
      <w:r>
        <w:br/>
      </w:r>
      <w:r>
        <w:t xml:space="preserve">Suite 5, 255 Victoria Street West</w:t>
      </w:r>
      <w:r>
        <w:br/>
      </w:r>
      <w:r>
        <w:t xml:space="preserve">Auckland 1010, New Zealand</w:t>
      </w:r>
      <w:r>
        <w:br/>
      </w:r>
      <w:r>
        <w:t xml:space="preserve">NZBN: 942904987654321</w:t>
      </w:r>
      <w:r>
        <w:br/>
      </w:r>
      <w:r>
        <w:t xml:space="preserve">GST Number: 987-654-321</w:t>
      </w:r>
      <w:r>
        <w:br/>
      </w:r>
      <w:r>
        <w:t xml:space="preserve">Contact: j.whitfield@whitfieldbanking.co.nz</w:t>
      </w:r>
      <w:r>
        <w:br/>
      </w:r>
      <w:r>
        <w:t xml:space="preserve">Phone: +64 9 376 2200</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Number</w:t>
            </w:r>
          </w:p>
        </w:tc>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r>
      <w:tr>
        <w:tc>
          <w:tcPr/>
          <w:p>
            <w:pPr>
              <w:pStyle w:val="Compact"/>
              <w:jc w:val="left"/>
            </w:pPr>
            <w:r>
              <w:t xml:space="preserve">PO-AKL-2025-00487</w:t>
            </w:r>
          </w:p>
        </w:tc>
        <w:tc>
          <w:tcPr/>
          <w:p>
            <w:pPr>
              <w:pStyle w:val="Compact"/>
              <w:jc w:val="left"/>
            </w:pPr>
            <w:r>
              <w:t xml:space="preserve">14 June 2025</w:t>
            </w:r>
          </w:p>
        </w:tc>
        <w:tc>
          <w:tcPr/>
          <w:p>
            <w:pPr>
              <w:pStyle w:val="Compact"/>
              <w:jc w:val="left"/>
            </w:pPr>
            <w:r>
              <w:t xml:space="preserve">30 September 2025</w:t>
            </w:r>
          </w:p>
        </w:tc>
        <w:tc>
          <w:tcPr/>
          <w:p>
            <w:pPr>
              <w:pStyle w:val="Compact"/>
              <w:jc w:val="left"/>
            </w:pPr>
            <w:r>
              <w:t xml:space="preserve">Net 30 days from invoice</w:t>
            </w:r>
          </w:p>
        </w:tc>
      </w:tr>
    </w:tbl>
    <w:p>
      <w:pPr>
        <w:pStyle w:val="BodyText"/>
      </w:pPr>
      <w:r>
        <w:t xml:space="preserve">1. PURPOSE AND SCOPE OF THIS PURCHASE ORDER</w:t>
      </w:r>
    </w:p>
    <w:p>
      <w:pPr>
        <w:pStyle w:val="BodyText"/>
      </w:pPr>
      <w:r>
        <w:t xml:space="preserve">This Purchase Order is issued by Auckland Commercial Holdings Limited (hereinafter referred to as the "Purchaser") to engage the professional services of Mr. Jonathan R. Whitfield, a licensed and registered Banker operating under Whitfield Banking Advisory Group (hereinafter referred to as the "Banker" or "Supplier"), based in Auckland, New Zealand. This Purchase Order governs the procurement of comprehensive banking advisory, financial structuring, and corporate treasury management services to be delivered within the Auckland metropolitan region of New Zealand.</w:t>
      </w:r>
    </w:p>
    <w:p>
      <w:pPr>
        <w:pStyle w:val="BodyText"/>
      </w:pPr>
      <w:r>
        <w:t xml:space="preserve">The Banker has been selected following a competitive tender process conducted in accordance with the Purchaser's internal procurement policies and the requirements set forth by the Financial Markets Conduct Act 2013 of New Zealand. The Banker holds a valid Financial Service Provider (FSP) licence issued by the Financial Markets Authority (FMA) of New Zealand, registration number FSP-2019-44872, and is a member in good standing of the Banking Association of New Zealand (BANZ).</w:t>
      </w:r>
    </w:p>
    <w:p>
      <w:pPr>
        <w:pStyle w:val="BodyText"/>
      </w:pPr>
      <w:r>
        <w:t xml:space="preserve">2. DESCRIPTION OF SERVICES AND DELIVERABLES</w:t>
      </w:r>
    </w:p>
    <w:p>
      <w:pPr>
        <w:pStyle w:val="BodyText"/>
      </w:pPr>
      <w:r>
        <w:t xml:space="preserve">The Banker shall provide the following banking and financial advisory services as specified in this Purchase Order, all to be performed in accordance with the standards and regulations applicable in New Zealand Auckland: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Total (NZD)</w:t>
            </w:r>
          </w:p>
        </w:tc>
        <w:tc>
          <w:tcPr/>
          <w:p>
            <w:pPr>
              <w:pStyle w:val="Compact"/>
              <w:jc w:val="left"/>
            </w:pPr>
            <w:r>
              <w:t xml:space="preserve">Delivery Period</w:t>
            </w:r>
          </w:p>
        </w:tc>
      </w:tr>
      <w:tr>
        <w:tc>
          <w:tcPr/>
          <w:p>
            <w:pPr>
              <w:pStyle w:val="Compact"/>
              <w:jc w:val="left"/>
            </w:pPr>
            <w:r>
              <w:t xml:space="preserve">1</w:t>
            </w:r>
          </w:p>
        </w:tc>
        <w:tc>
          <w:tcPr/>
          <w:p>
            <w:pPr>
              <w:pStyle w:val="Compact"/>
              <w:jc w:val="left"/>
            </w:pPr>
            <w:r>
              <w:t xml:space="preserve">Corporate Treasury Management &amp; Cash Flow Optimisation Advisory (Banker-led)</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Jul 2025 – Jun 2026</w:t>
            </w:r>
          </w:p>
        </w:tc>
      </w:tr>
      <w:tr>
        <w:tc>
          <w:tcPr/>
          <w:p>
            <w:pPr>
              <w:pStyle w:val="Compact"/>
              <w:jc w:val="left"/>
            </w:pPr>
            <w:r>
              <w:t xml:space="preserve">2</w:t>
            </w:r>
          </w:p>
        </w:tc>
        <w:tc>
          <w:tcPr/>
          <w:p>
            <w:pPr>
              <w:pStyle w:val="Compact"/>
              <w:jc w:val="left"/>
            </w:pPr>
            <w:r>
              <w:t xml:space="preserve">Banker-Structured Trade Finance &amp; Letters of Credit Arrangement</w:t>
            </w:r>
          </w:p>
        </w:tc>
        <w:tc>
          <w:tcPr/>
          <w:p>
            <w:pPr>
              <w:pStyle w:val="Compact"/>
              <w:jc w:val="left"/>
            </w:pPr>
            <w:r>
              <w:t xml:space="preserve">1 engagement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Jul 2025 – Aug 2025</w:t>
            </w:r>
          </w:p>
        </w:tc>
      </w:tr>
      <w:tr>
        <w:tc>
          <w:tcPr/>
          <w:p>
            <w:pPr>
              <w:pStyle w:val="Compact"/>
              <w:jc w:val="left"/>
            </w:pPr>
            <w:r>
              <w:t xml:space="preserve">3</w:t>
            </w:r>
          </w:p>
        </w:tc>
        <w:tc>
          <w:tcPr/>
          <w:p>
            <w:pPr>
              <w:pStyle w:val="Compact"/>
              <w:jc w:val="left"/>
            </w:pPr>
            <w:r>
              <w:t xml:space="preserve">Foreign Exchange Risk Management Strategy (NZD/USD, NZD/EUR, NZD/CNY)</w:t>
            </w:r>
          </w:p>
        </w:tc>
        <w:tc>
          <w:tcPr/>
          <w:p>
            <w:pPr>
              <w:pStyle w:val="Compact"/>
              <w:jc w:val="left"/>
            </w:pPr>
            <w:r>
              <w:t xml:space="preserve">1 strategy</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Aug 2025 – Sep 2025</w:t>
            </w:r>
          </w:p>
        </w:tc>
      </w:tr>
      <w:tr>
        <w:tc>
          <w:tcPr/>
          <w:p>
            <w:pPr>
              <w:pStyle w:val="Compact"/>
              <w:jc w:val="left"/>
            </w:pPr>
            <w:r>
              <w:t xml:space="preserve">4</w:t>
            </w:r>
          </w:p>
        </w:tc>
        <w:tc>
          <w:tcPr/>
          <w:p>
            <w:pPr>
              <w:pStyle w:val="Compact"/>
              <w:jc w:val="left"/>
            </w:pPr>
            <w:r>
              <w:t xml:space="preserve">Banker-Prepared Annual Financial Health Assessment &amp; Credit Rating Review</w:t>
            </w:r>
          </w:p>
        </w:tc>
        <w:tc>
          <w:tcPr/>
          <w:p>
            <w:pPr>
              <w:pStyle w:val="Compact"/>
              <w:jc w:val="left"/>
            </w:pPr>
            <w:r>
              <w:t xml:space="preserve">1 report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Oct 2025</w:t>
            </w:r>
          </w:p>
        </w:tc>
      </w:tr>
      <w:tr>
        <w:tc>
          <w:tcPr/>
          <w:p>
            <w:pPr>
              <w:pStyle w:val="Compact"/>
              <w:jc w:val="left"/>
            </w:pPr>
            <w:r>
              <w:t xml:space="preserve">5</w:t>
            </w:r>
          </w:p>
        </w:tc>
        <w:tc>
          <w:tcPr/>
          <w:p>
            <w:pPr>
              <w:pStyle w:val="Compact"/>
              <w:jc w:val="left"/>
            </w:pPr>
            <w:r>
              <w:t xml:space="preserve">On-site Banking Compliance Audit (Reserve Bank of New Zealand guidelines)</w:t>
            </w:r>
          </w:p>
        </w:tc>
        <w:tc>
          <w:tcPr/>
          <w:p>
            <w:pPr>
              <w:pStyle w:val="Compact"/>
              <w:jc w:val="left"/>
            </w:pPr>
            <w:r>
              <w:t xml:space="preserve">2 visits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Aug 2025, Nov 2025</w:t>
            </w:r>
          </w:p>
        </w:tc>
      </w:tr>
      <w:tr>
        <w:tc>
          <w:tcPr/>
          <w:p>
            <w:pPr>
              <w:pStyle w:val="Compact"/>
              <w:jc w:val="left"/>
            </w:pPr>
            <w:r>
              <w:t xml:space="preserve">6</w:t>
            </w:r>
          </w:p>
        </w:tc>
        <w:tc>
          <w:tcPr/>
          <w:p>
            <w:pPr>
              <w:pStyle w:val="Compact"/>
              <w:jc w:val="left"/>
            </w:pPr>
            <w:r>
              <w:t xml:space="preserve">Banker-Facilitated Lender Negotiation &amp; Refinancing Advisory</w:t>
            </w:r>
          </w:p>
        </w:tc>
        <w:tc>
          <w:tcPr/>
          <w:p>
            <w:pPr>
              <w:pStyle w:val="Compact"/>
              <w:jc w:val="left"/>
            </w:pPr>
            <w:r>
              <w:t xml:space="preserve">1 engagement</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Sep 2025 – Oct 2025</w:t>
            </w:r>
          </w:p>
        </w:tc>
      </w:tr>
      <w:tr>
        <w:tc>
          <w:tcPr/>
          <w:p>
            <w:pPr>
              <w:pStyle w:val="Compact"/>
              <w:jc w:val="left"/>
            </w:pPr>
            <w:r>
              <w:t xml:space="preserve">7</w:t>
            </w:r>
          </w:p>
        </w:tc>
        <w:tc>
          <w:tcPr/>
          <w:p>
            <w:pPr>
              <w:pStyle w:val="Compact"/>
              <w:jc w:val="left"/>
            </w:pPr>
            <w:r>
              <w:t xml:space="preserve">Monthly Banking Performance Reporting &amp; Board Briefings (Auckland HQ)</w:t>
            </w:r>
          </w:p>
        </w:tc>
        <w:tc>
          <w:tcPr/>
          <w:p>
            <w:pPr>
              <w:pStyle w:val="Compact"/>
              <w:jc w:val="left"/>
            </w:pPr>
            <w:r>
              <w:t xml:space="preserve">12 reports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Jul 2025 – Jun 2026</w:t>
            </w:r>
          </w:p>
        </w:tc>
      </w:tr>
      <w:tr>
        <w:tc>
          <w:tcPr/>
          <w:p>
            <w:pPr>
              <w:pStyle w:val="Compact"/>
              <w:jc w:val="left"/>
            </w:pPr>
            <w:r>
              <w:t xml:space="preserve">8</w:t>
            </w:r>
          </w:p>
        </w:tc>
        <w:tc>
          <w:tcPr/>
          <w:p>
            <w:pPr>
              <w:pStyle w:val="Compact"/>
              <w:jc w:val="left"/>
            </w:pPr>
            <w:r>
              <w:t xml:space="preserve">Emergency Banking Advisory Hotline (24/7, Auckland-based Banker on call)</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Jul 2025 – Jun 2026</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(NZD)</w:t>
            </w:r>
          </w:p>
        </w:tc>
      </w:tr>
      <w:tr>
        <w:tc>
          <w:tcPr/>
          <w:p>
            <w:pPr>
              <w:pStyle w:val="Compact"/>
              <w:jc w:val="left"/>
            </w:pPr>
            <w:r>
              <w:t xml:space="preserve">Subtotal (all services as itemised above)</w:t>
            </w:r>
          </w:p>
        </w:tc>
        <w:tc>
          <w:tcPr/>
          <w:p>
            <w:pPr>
              <w:pStyle w:val="Compact"/>
              <w:jc w:val="left"/>
            </w:pPr>
            <w:r>
              <w:t xml:space="preserve">481,900.00</w:t>
            </w:r>
          </w:p>
        </w:tc>
      </w:tr>
      <w:tr>
        <w:tc>
          <w:tcPr/>
          <w:p>
            <w:pPr>
              <w:pStyle w:val="Compact"/>
              <w:jc w:val="left"/>
            </w:pPr>
            <w:r>
              <w:t xml:space="preserve">GST (15% — New Zealand Goods and Services Tax)</w:t>
            </w:r>
          </w:p>
        </w:tc>
        <w:tc>
          <w:tcPr/>
          <w:p>
            <w:pPr>
              <w:pStyle w:val="Compact"/>
              <w:jc w:val="left"/>
            </w:pPr>
            <w:r>
              <w:t xml:space="preserve">72,285.00</w:t>
            </w:r>
          </w:p>
        </w:tc>
      </w:tr>
      <w:tr>
        <w:tc>
          <w:tcPr/>
          <w:p>
            <w:pPr>
              <w:pStyle w:val="Compact"/>
              <w:jc w:val="left"/>
            </w:pPr>
            <w:r>
              <w:t xml:space="preserve">TOTAL PURCHASE ORDER VALUE (NZD, inclusive of GST)</w:t>
            </w:r>
          </w:p>
        </w:tc>
        <w:tc>
          <w:tcPr/>
          <w:p>
            <w:pPr>
              <w:pStyle w:val="Compact"/>
              <w:jc w:val="left"/>
            </w:pPr>
            <w:r>
              <w:t xml:space="preserve">554,185.00</w:t>
            </w:r>
          </w:p>
        </w:tc>
      </w:tr>
    </w:tbl>
    <w:p>
      <w:pPr>
        <w:pStyle w:val="BodyText"/>
      </w:pPr>
      <w:r>
        <w:t xml:space="preserve">All amounts are quoted in New Zealand Dollars (NZD). The Banker shall issue a valid GST invoice in accordance with the Inland Revenue Department (IRD) of New Zealand. Payment shall be made via electronic funds transfer (EFT) to the Banker's nominated account at a New Zealand-registered bank.</w:t>
      </w:r>
    </w:p>
    <w:p>
      <w:pPr>
        <w:pStyle w:val="BodyText"/>
      </w:pPr>
      <w:r>
        <w:t xml:space="preserve">4. TERMS AND CONDITIONS</w:t>
      </w:r>
    </w:p>
    <w:p>
      <w:pPr>
        <w:pStyle w:val="BodyText"/>
      </w:pPr>
      <w:r>
        <w:t xml:space="preserve">4.1 This Purchase Order is governed by and shall be construed in accordance with the laws of New Zealand, specifically the Contract and Commercial Law Act 2017 and the Financial Markets Conduct Act 2013.</w:t>
      </w:r>
    </w:p>
    <w:p>
      <w:pPr>
        <w:pStyle w:val="BodyText"/>
      </w:pPr>
      <w:r>
        <w:t xml:space="preserve">4.2 The Banker warrants that all services rendered under this Purchase Order shall be performed with the skill, care, and diligence expected of a qualified Banker practising in Auckland, New Zealand, and in full compliance with the Code of Banking Practice issued by the Banking Association of New Zealand.</w:t>
      </w:r>
    </w:p>
    <w:p>
      <w:pPr>
        <w:pStyle w:val="BodyText"/>
      </w:pPr>
      <w:r>
        <w:t xml:space="preserve">4.3 The Banker shall maintain professional indemnity insurance with a minimum cover of NZD 5,000,000 and shall provide a certificate of insurance upon request by the Purchaser.</w:t>
      </w:r>
    </w:p>
    <w:p>
      <w:pPr>
        <w:pStyle w:val="BodyText"/>
      </w:pPr>
      <w:r>
        <w:t xml:space="preserve">4.4 The Banker shall comply with all anti-money laundering (AML) and counter-terrorism financing (CTF) obligations under the Anti-Money Laundering and Countering Financing of Terrorism Act 2009 (New Zealand).</w:t>
      </w:r>
    </w:p>
    <w:p>
      <w:pPr>
        <w:pStyle w:val="BodyText"/>
      </w:pPr>
      <w:r>
        <w:t xml:space="preserve">4.5 All deliverables, reports, and advisory documents produced by the Banker under this Purchase Order shall be the intellectual property of the Purchaser upon full payment.</w:t>
      </w:r>
    </w:p>
    <w:p>
      <w:pPr>
        <w:pStyle w:val="BodyText"/>
      </w:pPr>
      <w:r>
        <w:t xml:space="preserve">4.6 The Banker shall not subcontract any portion of the services specified in this Purchase Order without prior written consent from the Purchaser's Chief Financial Officer.</w:t>
      </w:r>
    </w:p>
    <w:p>
      <w:pPr>
        <w:pStyle w:val="BodyText"/>
      </w:pPr>
      <w:r>
        <w:t xml:space="preserve">4.7 Termination: Either party may terminate this Purchase Order with 30 days' written notice. In the event of termination, the Banker shall be compensated for services rendered up to the date of termination, less any unused prepaid amounts.</w:t>
      </w:r>
    </w:p>
    <w:p>
      <w:pPr>
        <w:pStyle w:val="BodyText"/>
      </w:pPr>
      <w:r>
        <w:t xml:space="preserve">4.8 Dispute Resolution: Any dispute arising from this Purchase Order shall first be subject to mediation in Auckland, New Zealand, in accordance with the Mediation Act 2010. If mediation fails, the dispute shall be referred to the District Court of Auckland, New Zealand.</w:t>
      </w:r>
    </w:p>
    <w:p>
      <w:pPr>
        <w:pStyle w:val="BodyText"/>
      </w:pPr>
      <w:r>
        <w:t xml:space="preserve">5. DELIVERY AND PERFORMANCE LOCATION</w:t>
      </w:r>
    </w:p>
    <w:p>
      <w:pPr>
        <w:pStyle w:val="BodyText"/>
      </w:pPr>
      <w:r>
        <w:t xml:space="preserve">All on-site services, meetings, board briefings, and compliance audits under this Purchase Order shall be conducted at the Purchaser's headquarters located at Level 12, 100 Queen Street, Auckland 1010, New Zealand, or at such other location in the Auckland region as mutually agreed in writing. The Banker shall ensure that all in-person engagements are scheduled to accommodate the working hours standard in Auckland, New Zealand (Monday to Friday, 08:30 to 17:00 NZST/NZDT).</w:t>
      </w:r>
    </w:p>
    <w:p>
      <w:pPr>
        <w:pStyle w:val="BodyText"/>
      </w:pPr>
      <w:r>
        <w:t xml:space="preserve">6. ACCEPTANCE AND AUTHORITY</w:t>
      </w:r>
    </w:p>
    <w:p>
      <w:pPr>
        <w:pStyle w:val="BodyText"/>
      </w:pPr>
      <w:r>
        <w:t xml:space="preserve">This Purchase Order becomes effective upon signature by both parties. The Banker acknowledges receipt and acceptance of this Purchase Order and confirms that all services, rates, and timelines set forth herein are agreed and binding.</w:t>
      </w:r>
    </w:p>
    <w:p>
      <w:pPr>
        <w:pStyle w:val="BodyText"/>
      </w:pPr>
      <w:r>
        <w:rPr>
          <w:bCs/>
          <w:b/>
        </w:rPr>
        <w:t xml:space="preserve">For and on behalf of Auckland Commercial Holdings Limited (Purchaser):</w:t>
      </w:r>
    </w:p>
    <w:p>
      <w:pPr>
        <w:pStyle w:val="BodyText"/>
      </w:pPr>
      <w:r>
        <w:t xml:space="preserve">Name: Sarah M. Chen</w:t>
      </w:r>
      <w:r>
        <w:br/>
      </w:r>
      <w:r>
        <w:t xml:space="preserve">Title: Chief Financial Officer</w:t>
      </w:r>
      <w:r>
        <w:br/>
      </w:r>
      <w:r>
        <w:t xml:space="preserve">Date: ____________________</w:t>
      </w:r>
    </w:p>
    <w:p>
      <w:pPr>
        <w:pStyle w:val="BodyText"/>
      </w:pPr>
      <w:r>
        <w:rPr>
          <w:bCs/>
          <w:b/>
        </w:rPr>
        <w:t xml:space="preserve">For and on behalf of Whitfield Banking Advisory Group (Banker / Supplier):</w:t>
      </w:r>
    </w:p>
    <w:p>
      <w:pPr>
        <w:pStyle w:val="BodyText"/>
      </w:pPr>
      <w:r>
        <w:t xml:space="preserve">Name: Jonathan R. Whitfield, CFA, CFP</w:t>
      </w:r>
      <w:r>
        <w:br/>
      </w:r>
      <w:r>
        <w:t xml:space="preserve">Title: Principal Banker &amp; Managing Director</w:t>
      </w:r>
      <w:r>
        <w:br/>
      </w:r>
      <w:r>
        <w:t xml:space="preserve">Date: ____________________</w:t>
      </w:r>
    </w:p>
    <w:p>
      <w:pPr>
        <w:pStyle w:val="BodyText"/>
      </w:pPr>
      <w:r>
        <w:t xml:space="preserve">This Purchase Order (PO-AKL-2025-00487) was issued in Auckland, New Zealand. It constitutes a legally binding agreement between the Purchaser and the Banker upon execution. All references to "Banker" in this document refer to the licensed banking professional and advisory entity identified in Section 1. This document is subject to the laws of New Zealand and the jurisdiction of the courts of Auckland,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Banking Services - Auckland, New Zealand</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file>