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Banker Services &amp; Banking Infrastructure Procurement</w:t>
      </w:r>
    </w:p>
    <w:p>
      <w:pPr>
        <w:pStyle w:val="BodyText"/>
      </w:pPr>
      <w:r>
        <w:t xml:space="preserve">Republic of Peru — Lima Metropolitan Region</w:t>
      </w:r>
    </w:p>
    <w:p>
      <w:pPr>
        <w:pStyle w:val="BodyText"/>
      </w:pPr>
      <w:r>
        <w:t xml:space="preserve">PO No. PER-LIM-2025-004872</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PER-LIM-2025-004872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Place of Issue:</w:t>
            </w:r>
          </w:p>
        </w:tc>
        <w:tc>
          <w:tcPr/>
          <w:p>
            <w:pPr>
              <w:pStyle w:val="Compact"/>
              <w:jc w:val="left"/>
            </w:pPr>
            <w:r>
              <w:t xml:space="preserve">Lima, Peru — Av. Javier Prado Este 4520, San Isidro, Lima 27</w:t>
            </w:r>
          </w:p>
        </w:tc>
      </w:tr>
      <w:tr>
        <w:tc>
          <w:tcPr/>
          <w:p>
            <w:pPr>
              <w:pStyle w:val="Compact"/>
              <w:jc w:val="left"/>
            </w:pPr>
            <w:r>
              <w:rPr>
                <w:bCs/>
                <w:b/>
              </w:rPr>
              <w:t xml:space="preserve">Delivery Deadline:</w:t>
            </w:r>
          </w:p>
        </w:tc>
        <w:tc>
          <w:tcPr/>
          <w:p>
            <w:pPr>
              <w:pStyle w:val="Compact"/>
              <w:jc w:val="left"/>
            </w:pPr>
            <w:r>
              <w:t xml:space="preserve">August 15, 2025</w:t>
            </w:r>
          </w:p>
        </w:tc>
      </w:tr>
      <w:tr>
        <w:tc>
          <w:tcPr/>
          <w:p>
            <w:pPr>
              <w:pStyle w:val="Compact"/>
              <w:jc w:val="left"/>
            </w:pPr>
            <w:r>
              <w:rPr>
                <w:bCs/>
                <w:b/>
              </w:rPr>
              <w:t xml:space="preserve">Currency:</w:t>
            </w:r>
          </w:p>
        </w:tc>
        <w:tc>
          <w:tcPr/>
          <w:p>
            <w:pPr>
              <w:pStyle w:val="Compact"/>
              <w:jc w:val="left"/>
            </w:pPr>
            <w:r>
              <w:t xml:space="preserve">Peruvian Sol (PEN / S/)</w:t>
            </w:r>
          </w:p>
        </w:tc>
      </w:tr>
      <w:tr>
        <w:tc>
          <w:tcPr/>
          <w:p>
            <w:pPr>
              <w:pStyle w:val="Compact"/>
              <w:jc w:val="left"/>
            </w:pPr>
            <w:r>
              <w:rPr>
                <w:bCs/>
                <w:b/>
              </w:rPr>
              <w:t xml:space="preserve">Governing Jurisdiction:</w:t>
            </w:r>
          </w:p>
        </w:tc>
        <w:tc>
          <w:tcPr/>
          <w:p>
            <w:pPr>
              <w:pStyle w:val="Compact"/>
              <w:jc w:val="left"/>
            </w:pPr>
            <w:r>
              <w:t xml:space="preserve">Republic of Peru — Lima Judicial District</w:t>
            </w:r>
          </w:p>
        </w:tc>
      </w:tr>
    </w:tbl>
    <w:bookmarkEnd w:id="21"/>
    <w:bookmarkStart w:id="24" w:name="parties-to-this-purchase-order"/>
    <w:p>
      <w:pPr>
        <w:pStyle w:val="Heading2"/>
      </w:pPr>
      <w:r>
        <w:t xml:space="preserve">2. Parties to This Purchase Order</w:t>
      </w:r>
    </w:p>
    <w:bookmarkStart w:id="22" w:name="purchaser-buyer"/>
    <w:p>
      <w:pPr>
        <w:pStyle w:val="Heading3"/>
      </w:pPr>
      <w:r>
        <w:t xml:space="preserve">Purchaser (Buyer)</w:t>
      </w:r>
    </w:p>
    <w:p>
      <w:pPr>
        <w:pStyle w:val="FirstParagraph"/>
      </w:pPr>
      <w:r>
        <w:rPr>
          <w:bCs/>
          <w:b/>
        </w:rPr>
        <w:t xml:space="preserve">Banco Continental del Pacífico S.A.</w:t>
      </w:r>
    </w:p>
    <w:p>
      <w:pPr>
        <w:pStyle w:val="BodyText"/>
      </w:pPr>
      <w:r>
        <w:t xml:space="preserve">RUC: 20548732190</w:t>
      </w:r>
    </w:p>
    <w:p>
      <w:pPr>
        <w:pStyle w:val="BodyText"/>
      </w:pPr>
      <w:r>
        <w:t xml:space="preserve">Address: Av. Javier Prado Este 4520, San Isidro, Lima 27, Peru</w:t>
      </w:r>
    </w:p>
    <w:p>
      <w:pPr>
        <w:pStyle w:val="BodyText"/>
      </w:pPr>
      <w:r>
        <w:t xml:space="preserve">Authorized Representative: Lic. Ricardo Mendoza Salazar, Chief Procurement Officer</w:t>
      </w:r>
    </w:p>
    <w:p>
      <w:pPr>
        <w:pStyle w:val="BodyText"/>
      </w:pPr>
      <w:r>
        <w:t xml:space="preserve">Contact: procurement@bancopacifico.pe</w:t>
      </w:r>
    </w:p>
    <w:p>
      <w:pPr>
        <w:pStyle w:val="BodyText"/>
      </w:pPr>
      <w:r>
        <w:t xml:space="preserve">Phone: +51 1 445-8820</w:t>
      </w:r>
    </w:p>
    <w:bookmarkEnd w:id="22"/>
    <w:bookmarkStart w:id="23" w:name="supplier-seller"/>
    <w:p>
      <w:pPr>
        <w:pStyle w:val="Heading3"/>
      </w:pPr>
      <w:r>
        <w:t xml:space="preserve">Supplier (Seller)</w:t>
      </w:r>
    </w:p>
    <w:p>
      <w:pPr>
        <w:pStyle w:val="FirstParagraph"/>
      </w:pPr>
      <w:r>
        <w:rPr>
          <w:bCs/>
          <w:b/>
        </w:rPr>
        <w:t xml:space="preserve">BankerTech Solutions S.A.C.</w:t>
      </w:r>
    </w:p>
    <w:p>
      <w:pPr>
        <w:pStyle w:val="BodyText"/>
      </w:pPr>
      <w:r>
        <w:t xml:space="preserve">RUC: 20601234567</w:t>
      </w:r>
    </w:p>
    <w:p>
      <w:pPr>
        <w:pStyle w:val="BodyText"/>
      </w:pPr>
      <w:r>
        <w:t xml:space="preserve">Address: Jr. Áncash 890, Miraflores, Lima 18, Peru</w:t>
      </w:r>
    </w:p>
    <w:p>
      <w:pPr>
        <w:pStyle w:val="BodyText"/>
      </w:pPr>
      <w:r>
        <w:t xml:space="preserve">Authorized Representative: Ing. Carmen Torres Villanueva, General Manager</w:t>
      </w:r>
    </w:p>
    <w:p>
      <w:pPr>
        <w:pStyle w:val="BodyText"/>
      </w:pPr>
      <w:r>
        <w:t xml:space="preserve">Contact: sales@bankertech.pe</w:t>
      </w:r>
    </w:p>
    <w:p>
      <w:pPr>
        <w:pStyle w:val="BodyText"/>
      </w:pPr>
      <w:r>
        <w:t xml:space="preserve">Phone: +51 1 448-3311</w:t>
      </w:r>
    </w:p>
    <w:bookmarkEnd w:id="23"/>
    <w:bookmarkEnd w:id="24"/>
    <w:bookmarkStart w:id="25" w:name="description-of-banker-goods-and-services"/>
    <w:p>
      <w:pPr>
        <w:pStyle w:val="Heading2"/>
      </w:pPr>
      <w:r>
        <w:t xml:space="preserve">3. Description of Banker Goods and Services</w:t>
      </w:r>
    </w:p>
    <w:p>
      <w:pPr>
        <w:pStyle w:val="FirstParagraph"/>
      </w:pPr>
      <w:r>
        <w:t xml:space="preserve">This</w:t>
      </w:r>
      <w:r>
        <w:t xml:space="preserve"> </w:t>
      </w:r>
      <w:r>
        <w:t xml:space="preserve">Purchase Order</w:t>
      </w:r>
      <w:r>
        <w:t xml:space="preserve"> </w:t>
      </w:r>
      <w:r>
        <w:t xml:space="preserve">is issued by Banco Continental del Pacífico S.A. to procure specialized</w:t>
      </w:r>
      <w:r>
        <w:t xml:space="preserve"> </w:t>
      </w:r>
      <w:r>
        <w:t xml:space="preserve">Banker</w:t>
      </w:r>
      <w:r>
        <w:t xml:space="preserve"> </w:t>
      </w:r>
      <w:r>
        <w:t xml:space="preserve">infrastructure, security systems, and professional banking services for the expansion of its branch network in the Lima metropolitan area. The following</w:t>
      </w:r>
      <w:r>
        <w:t xml:space="preserve"> </w:t>
      </w:r>
      <w:r>
        <w:t xml:space="preserve">Banker</w:t>
      </w:r>
      <w:r>
        <w:t xml:space="preserve"> </w:t>
      </w:r>
      <w:r>
        <w:t xml:space="preserve">items and services are hereby ordered under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Product/Service</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Banker-grade ATM dispensing units (4-model, multilingual Spanish/English, PCI-DSS compliant) for Lima branch installation</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Banker teller counter security systems with biometric access control and surveillance integration (per branch)</w:t>
            </w:r>
          </w:p>
        </w:tc>
        <w:tc>
          <w:tcPr/>
          <w:p>
            <w:pPr>
              <w:pStyle w:val="Compact"/>
              <w:jc w:val="left"/>
            </w:pPr>
            <w:r>
              <w:t xml:space="preserve">8</w:t>
            </w:r>
          </w:p>
        </w:tc>
        <w:tc>
          <w:tcPr/>
          <w:p>
            <w:pPr>
              <w:pStyle w:val="Compact"/>
              <w:jc w:val="left"/>
            </w:pPr>
            <w:r>
              <w:t xml:space="preserve">92,500.00</w:t>
            </w:r>
          </w:p>
        </w:tc>
        <w:tc>
          <w:tcPr/>
          <w:p>
            <w:pPr>
              <w:pStyle w:val="Compact"/>
              <w:jc w:val="left"/>
            </w:pPr>
            <w:r>
              <w:t xml:space="preserve">740,000.00</w:t>
            </w:r>
          </w:p>
        </w:tc>
      </w:tr>
      <w:tr>
        <w:tc>
          <w:tcPr/>
          <w:p>
            <w:pPr>
              <w:pStyle w:val="Compact"/>
              <w:jc w:val="left"/>
            </w:pPr>
            <w:r>
              <w:t xml:space="preserve">03</w:t>
            </w:r>
          </w:p>
        </w:tc>
        <w:tc>
          <w:tcPr/>
          <w:p>
            <w:pPr>
              <w:pStyle w:val="Compact"/>
              <w:jc w:val="left"/>
            </w:pPr>
            <w:r>
              <w:t xml:space="preserve">Banker core banking software license — enterprise edition with multi-branch module, SUNAT tax reporting integration, and 3-year maintenance</w:t>
            </w:r>
          </w:p>
        </w:tc>
        <w:tc>
          <w:tcPr/>
          <w:p>
            <w:pPr>
              <w:pStyle w:val="Compact"/>
              <w:jc w:val="left"/>
            </w:pPr>
            <w:r>
              <w:t xml:space="preserve">1</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04</w:t>
            </w:r>
          </w:p>
        </w:tc>
        <w:tc>
          <w:tcPr/>
          <w:p>
            <w:pPr>
              <w:pStyle w:val="Compact"/>
              <w:jc w:val="left"/>
            </w:pPr>
            <w:r>
              <w:t xml:space="preserve">Banker vault installation — Type III reinforced steel vaults with electronic combination locks, seismic-rated for Lima seismic zone IV</w:t>
            </w:r>
          </w:p>
        </w:tc>
        <w:tc>
          <w:tcPr/>
          <w:p>
            <w:pPr>
              <w:pStyle w:val="Compact"/>
              <w:jc w:val="left"/>
            </w:pPr>
            <w:r>
              <w:t xml:space="preserve">4</w:t>
            </w:r>
          </w:p>
        </w:tc>
        <w:tc>
          <w:tcPr/>
          <w:p>
            <w:pPr>
              <w:pStyle w:val="Compact"/>
              <w:jc w:val="left"/>
            </w:pPr>
            <w:r>
              <w:t xml:space="preserve">210,000.00</w:t>
            </w:r>
          </w:p>
        </w:tc>
        <w:tc>
          <w:tcPr/>
          <w:p>
            <w:pPr>
              <w:pStyle w:val="Compact"/>
              <w:jc w:val="left"/>
            </w:pPr>
            <w:r>
              <w:t xml:space="preserve">840,000.00</w:t>
            </w:r>
          </w:p>
        </w:tc>
      </w:tr>
      <w:tr>
        <w:tc>
          <w:tcPr/>
          <w:p>
            <w:pPr>
              <w:pStyle w:val="Compact"/>
              <w:jc w:val="left"/>
            </w:pPr>
            <w:r>
              <w:t xml:space="preserve">05</w:t>
            </w:r>
          </w:p>
        </w:tc>
        <w:tc>
          <w:tcPr/>
          <w:p>
            <w:pPr>
              <w:pStyle w:val="Compact"/>
              <w:jc w:val="left"/>
            </w:pPr>
            <w:r>
              <w:t xml:space="preserve">Banker professional training program — 40-hour certification for 60 branch staff on new Banker systems, security protocols, and customer service standards (Lima training center)</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06</w:t>
            </w:r>
          </w:p>
        </w:tc>
        <w:tc>
          <w:tcPr/>
          <w:p>
            <w:pPr>
              <w:pStyle w:val="Compact"/>
              <w:jc w:val="left"/>
            </w:pPr>
            <w:r>
              <w:t xml:space="preserve">Banker cash-in-transit (CIT) armored vehicle fleet — 6 units, Lima metropolitan coverage, equipped with GPS tracking and Banker-grade ballistic protection</w:t>
            </w:r>
          </w:p>
        </w:tc>
        <w:tc>
          <w:tcPr/>
          <w:p>
            <w:pPr>
              <w:pStyle w:val="Compact"/>
              <w:jc w:val="left"/>
            </w:pPr>
            <w:r>
              <w:t xml:space="preserve">6</w:t>
            </w:r>
          </w:p>
        </w:tc>
        <w:tc>
          <w:tcPr/>
          <w:p>
            <w:pPr>
              <w:pStyle w:val="Compact"/>
              <w:jc w:val="left"/>
            </w:pPr>
            <w:r>
              <w:t xml:space="preserve">320,000.00</w:t>
            </w:r>
          </w:p>
        </w:tc>
        <w:tc>
          <w:tcPr/>
          <w:p>
            <w:pPr>
              <w:pStyle w:val="Compact"/>
              <w:jc w:val="left"/>
            </w:pPr>
            <w:r>
              <w:t xml:space="preserve">1,920,000.00</w:t>
            </w:r>
          </w:p>
        </w:tc>
      </w:tr>
      <w:tr>
        <w:tc>
          <w:tcPr/>
          <w:p>
            <w:pPr>
              <w:pStyle w:val="Compact"/>
              <w:jc w:val="left"/>
            </w:pPr>
            <w:r>
              <w:t xml:space="preserve">07</w:t>
            </w:r>
          </w:p>
        </w:tc>
        <w:tc>
          <w:tcPr/>
          <w:p>
            <w:pPr>
              <w:pStyle w:val="Compact"/>
              <w:jc w:val="left"/>
            </w:pPr>
            <w:r>
              <w:t xml:space="preserve">Banker network infrastructure — dedicated fiber-optic connectivity, redundant data center links, and Banker-grade firewalls for 8 Lima branches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gridSpan w:val="4"/>
          </w:tcPr>
          <w:p>
            <w:pPr>
              <w:pStyle w:val="Compact"/>
              <w:jc w:val="left"/>
            </w:pPr>
            <w:r>
              <w:rPr>
                <w:bCs/>
                <w:b/>
              </w:rPr>
              <w:t xml:space="preserve">TOTAL PURCHASE ORDER AMOUNT (before IGV):</w:t>
            </w:r>
          </w:p>
        </w:tc>
        <w:tc>
          <w:tcPr/>
          <w:p>
            <w:pPr>
              <w:pStyle w:val="Compact"/>
              <w:jc w:val="left"/>
            </w:pPr>
            <w:r>
              <w:rPr>
                <w:bCs/>
                <w:b/>
              </w:rPr>
              <w:t xml:space="preserve">S/ 8,048,000.00</w:t>
            </w:r>
          </w:p>
        </w:tc>
      </w:tr>
      <w:tr>
        <w:tc>
          <w:tcPr>
            <w:gridSpan w:val="4"/>
          </w:tcPr>
          <w:p>
            <w:pPr>
              <w:pStyle w:val="Compact"/>
              <w:jc w:val="left"/>
            </w:pPr>
            <w:r>
              <w:rPr>
                <w:bCs/>
                <w:b/>
              </w:rPr>
              <w:t xml:space="preserve">IGV (18% — Impuesto General a las Ventas, Peru):</w:t>
            </w:r>
          </w:p>
        </w:tc>
        <w:tc>
          <w:tcPr/>
          <w:p>
            <w:pPr>
              <w:pStyle w:val="Compact"/>
              <w:jc w:val="left"/>
            </w:pPr>
            <w:r>
              <w:rPr>
                <w:bCs/>
                <w:b/>
              </w:rPr>
              <w:t xml:space="preserve">S/ 1,448,640.00</w:t>
            </w:r>
          </w:p>
        </w:tc>
      </w:tr>
      <w:tr>
        <w:tc>
          <w:tcPr>
            <w:gridSpan w:val="4"/>
          </w:tcPr>
          <w:p>
            <w:pPr>
              <w:pStyle w:val="Compact"/>
              <w:jc w:val="left"/>
            </w:pPr>
            <w:r>
              <w:rPr>
                <w:bCs/>
                <w:b/>
              </w:rPr>
              <w:t xml:space="preserve">GRAND TOTAL (including IGV):</w:t>
            </w:r>
          </w:p>
        </w:tc>
        <w:tc>
          <w:tcPr/>
          <w:p>
            <w:pPr>
              <w:pStyle w:val="Compact"/>
              <w:jc w:val="left"/>
            </w:pPr>
            <w:r>
              <w:rPr>
                <w:bCs/>
                <w:b/>
              </w:rPr>
              <w:t xml:space="preserve">S/ 9,496,640.00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BankerTech Solutions S.A.C. within ten (10) business days of the date of issue. Failure to respond within this period shall constitute automatic acceptance under Peruvian commercial law (Código Civil del Perú, Art. 1322 et seq.).</w:t>
      </w:r>
    </w:p>
    <w:p>
      <w:pPr>
        <w:numPr>
          <w:ilvl w:val="0"/>
          <w:numId w:val="1001"/>
        </w:numPr>
        <w:pStyle w:val="Compact"/>
      </w:pPr>
      <w:r>
        <w:rPr>
          <w:bCs/>
          <w:b/>
        </w:rPr>
        <w:t xml:space="preserve">Delivery:</w:t>
      </w:r>
      <w:r>
        <w:t xml:space="preserve"> </w:t>
      </w:r>
      <w:r>
        <w:t xml:space="preserve">All</w:t>
      </w:r>
      <w:r>
        <w:t xml:space="preserve"> </w:t>
      </w:r>
      <w:r>
        <w:t xml:space="preserve">Banker</w:t>
      </w:r>
      <w:r>
        <w:t xml:space="preserve"> </w:t>
      </w:r>
      <w:r>
        <w:t xml:space="preserve">equipment and materials shall be delivered to the designated branch locations in Lima, Peru, no later than August 15, 2025. Delivery shall be DDP (Delivered Duty Paid) to the addresses specified in Annex A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in three (3) installments: 40% upon execution of this</w:t>
      </w:r>
      <w:r>
        <w:t xml:space="preserve"> </w:t>
      </w:r>
      <w:r>
        <w:t xml:space="preserve">Purchase Order</w:t>
      </w:r>
      <w:r>
        <w:t xml:space="preserve">, 40% upon delivery and installation of all</w:t>
      </w:r>
      <w:r>
        <w:t xml:space="preserve"> </w:t>
      </w:r>
      <w:r>
        <w:t xml:space="preserve">Banker</w:t>
      </w:r>
      <w:r>
        <w:t xml:space="preserve"> </w:t>
      </w:r>
      <w:r>
        <w:t xml:space="preserve">hardware in Lima, and 20% upon final acceptance and completion of the</w:t>
      </w:r>
      <w:r>
        <w:t xml:space="preserve"> </w:t>
      </w:r>
      <w:r>
        <w:t xml:space="preserve">Banker</w:t>
      </w:r>
      <w:r>
        <w:t xml:space="preserve"> </w:t>
      </w:r>
      <w:r>
        <w:t xml:space="preserve">training program. All payments shall be made via bank transfer to the supplier’s account in Peruvian Soles (PEN) at a bank operating in Lima, Peru.</w:t>
      </w:r>
    </w:p>
    <w:p>
      <w:pPr>
        <w:numPr>
          <w:ilvl w:val="0"/>
          <w:numId w:val="1001"/>
        </w:numPr>
        <w:pStyle w:val="Compact"/>
      </w:pPr>
      <w:r>
        <w:rPr>
          <w:bCs/>
          <w:b/>
        </w:rPr>
        <w:t xml:space="preserve">Warranty:</w:t>
      </w:r>
      <w:r>
        <w:t xml:space="preserve"> </w:t>
      </w:r>
      <w:r>
        <w:t xml:space="preserve">BankerTech Solutions S.A.C. shall provide a minimum two (2) year warranty on all</w:t>
      </w:r>
      <w:r>
        <w:t xml:space="preserve"> </w:t>
      </w:r>
      <w:r>
        <w:t xml:space="preserve">Banker</w:t>
      </w:r>
      <w:r>
        <w:t xml:space="preserve"> </w:t>
      </w:r>
      <w:r>
        <w:t xml:space="preserve">hardware and a three (3) year warranty on the</w:t>
      </w:r>
      <w:r>
        <w:t xml:space="preserve"> </w:t>
      </w:r>
      <w:r>
        <w:t xml:space="preserve">Banker</w:t>
      </w:r>
      <w:r>
        <w:t xml:space="preserve"> </w:t>
      </w:r>
      <w:r>
        <w:t xml:space="preserve">core banking software, as specified in the item descriptions above.</w:t>
      </w:r>
    </w:p>
    <w:p>
      <w:pPr>
        <w:numPr>
          <w:ilvl w:val="0"/>
          <w:numId w:val="1001"/>
        </w:numPr>
        <w:pStyle w:val="Compact"/>
      </w:pPr>
      <w:r>
        <w:rPr>
          <w:bCs/>
          <w:b/>
        </w:rPr>
        <w:t xml:space="preserve">Compliance:</w:t>
      </w:r>
      <w:r>
        <w:t xml:space="preserve"> </w:t>
      </w:r>
      <w:r>
        <w:t xml:space="preserve">All</w:t>
      </w:r>
      <w:r>
        <w:t xml:space="preserve"> </w:t>
      </w:r>
      <w:r>
        <w:t xml:space="preserve">Banker</w:t>
      </w:r>
      <w:r>
        <w:t xml:space="preserve"> </w:t>
      </w:r>
      <w:r>
        <w:t xml:space="preserve">products and services procured under this</w:t>
      </w:r>
      <w:r>
        <w:t xml:space="preserve"> </w:t>
      </w:r>
      <w:r>
        <w:t xml:space="preserve">Purchase Order</w:t>
      </w:r>
      <w:r>
        <w:t xml:space="preserve"> </w:t>
      </w:r>
      <w:r>
        <w:t xml:space="preserve">shall comply with the regulations of the Superintendencia de Banca, Seguros y AFP (SBS) of Peru, the data protection standards of the Ley Nº 29733 (Ley de Protección de Datos Personales), and all applicable tax obligations before SUNAT (Superintendencia Nacional de Aduanas y de Administración Tributaria) in Lima.</w:t>
      </w:r>
    </w:p>
    <w:p>
      <w:pPr>
        <w:numPr>
          <w:ilvl w:val="0"/>
          <w:numId w:val="1001"/>
        </w:numPr>
        <w:pStyle w:val="Compact"/>
      </w:pPr>
      <w:r>
        <w:rPr>
          <w:bCs/>
          <w:b/>
        </w:rPr>
        <w:t xml:space="preserve">Seismic Compliance:</w:t>
      </w:r>
      <w:r>
        <w:t xml:space="preserve"> </w:t>
      </w:r>
      <w:r>
        <w:t xml:space="preserve">Given the seismic activity in the Lima region, all</w:t>
      </w:r>
      <w:r>
        <w:t xml:space="preserve"> </w:t>
      </w:r>
      <w:r>
        <w:t xml:space="preserve">Banker</w:t>
      </w:r>
      <w:r>
        <w:t xml:space="preserve"> </w:t>
      </w:r>
      <w:r>
        <w:t xml:space="preserve">vaults, structural installations, and equipment mounts shall meet the seismic design criteria of the Norma E.030 (Diseño Sísmico) of the Reglamento Nacional de Edificaciones del Perú.</w:t>
      </w:r>
    </w:p>
    <w:p>
      <w:pPr>
        <w:numPr>
          <w:ilvl w:val="0"/>
          <w:numId w:val="1001"/>
        </w:numPr>
        <w:pStyle w:val="Compact"/>
      </w:pPr>
      <w:r>
        <w:rPr>
          <w:bCs/>
          <w:b/>
        </w:rPr>
        <w:t xml:space="preserve">Confidentiality:</w:t>
      </w:r>
      <w:r>
        <w:t xml:space="preserve"> </w:t>
      </w:r>
      <w:r>
        <w:t xml:space="preserve">Both parties agree to maintain strict confidentiality regarding all</w:t>
      </w:r>
      <w:r>
        <w:t xml:space="preserve"> </w:t>
      </w:r>
      <w:r>
        <w:t xml:space="preserve">Banker</w:t>
      </w:r>
      <w:r>
        <w:t xml:space="preserve"> </w:t>
      </w:r>
      <w:r>
        <w:t xml:space="preserve">systems, customer data, and financial information exchanged in connection with this</w:t>
      </w:r>
      <w:r>
        <w:t xml:space="preserve"> </w:t>
      </w:r>
      <w:r>
        <w:t xml:space="preserve">Purchase Order</w:t>
      </w:r>
      <w:r>
        <w:t xml:space="preserve">, in accordance with Peruvian banking secrecy law (Ley Nº 26702).</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binding arbitration in Lima, Peru, under the rules of the Cámara de Comercio, Industria y Producción de Lima, in the Spanish language.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earthquakes, government decrees, or national emergencies declared in Lima or the Republic of Peru.</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sixty (60) calendar days from the date of issue. Any modifications must be made in writing and signed by both parties.</w:t>
      </w:r>
    </w:p>
    <w:bookmarkEnd w:id="26"/>
    <w:bookmarkStart w:id="27" w:name="authorized-signatures"/>
    <w:p>
      <w:pPr>
        <w:pStyle w:val="Heading2"/>
      </w:pPr>
      <w:r>
        <w:t xml:space="preserve">5. Authorized Signatures</w:t>
      </w:r>
    </w:p>
    <w:p>
      <w:pPr>
        <w:pStyle w:val="FirstParagraph"/>
      </w:pPr>
      <w:r>
        <w:rPr>
          <w:bCs/>
          <w:b/>
        </w:rPr>
        <w:t xml:space="preserve">For the Purchaser:</w:t>
      </w:r>
    </w:p>
    <w:p>
      <w:pPr>
        <w:pStyle w:val="BodyText"/>
      </w:pPr>
      <w:r>
        <w:t xml:space="preserve">Banco Continental del Pacífico S.A.</w:t>
      </w:r>
    </w:p>
    <w:p>
      <w:pPr>
        <w:pStyle w:val="BodyText"/>
      </w:pPr>
      <w:r>
        <w:t xml:space="preserve">Lic. Ricardo Mendoza Salazar</w:t>
      </w:r>
      <w:r>
        <w:br/>
      </w:r>
      <w:r>
        <w:t xml:space="preserve">Chief Procurement Officer</w:t>
      </w:r>
      <w:r>
        <w:br/>
      </w:r>
      <w:r>
        <w:t xml:space="preserve">DNI: 45678912</w:t>
      </w:r>
      <w:r>
        <w:br/>
      </w:r>
      <w:r>
        <w:t xml:space="preserve">Date: _______________</w:t>
      </w:r>
    </w:p>
    <w:p>
      <w:pPr>
        <w:pStyle w:val="BodyText"/>
      </w:pPr>
      <w:r>
        <w:rPr>
          <w:bCs/>
          <w:b/>
        </w:rPr>
        <w:t xml:space="preserve">For the Supplier:</w:t>
      </w:r>
    </w:p>
    <w:p>
      <w:pPr>
        <w:pStyle w:val="BodyText"/>
      </w:pPr>
      <w:r>
        <w:t xml:space="preserve">BankerTech Solutions S.A.C.</w:t>
      </w:r>
    </w:p>
    <w:p>
      <w:pPr>
        <w:pStyle w:val="BodyText"/>
      </w:pPr>
      <w:r>
        <w:t xml:space="preserve">Ing. Carmen Torres Villanueva</w:t>
      </w:r>
      <w:r>
        <w:br/>
      </w:r>
      <w:r>
        <w:t xml:space="preserve">General Manager</w:t>
      </w:r>
      <w:r>
        <w:br/>
      </w:r>
      <w:r>
        <w:t xml:space="preserve">DNI: 47891235</w:t>
      </w:r>
      <w:r>
        <w:br/>
      </w:r>
      <w:r>
        <w:t xml:space="preserve">Date: _______________</w:t>
      </w:r>
    </w:p>
    <w:bookmarkEnd w:id="27"/>
    <w:p>
      <w:pPr>
        <w:pStyle w:val="BodyText"/>
      </w:pPr>
      <w:r>
        <w:t xml:space="preserve">This</w:t>
      </w:r>
      <w:r>
        <w:t xml:space="preserve"> </w:t>
      </w:r>
      <w:r>
        <w:t xml:space="preserve">Purchase Order</w:t>
      </w:r>
      <w:r>
        <w:t xml:space="preserve"> </w:t>
      </w:r>
      <w:r>
        <w:t xml:space="preserve">(PER-LIM-2025-004872) is issued in the city of Lima, Peru, and is governed by the commercial and civil laws of the Republic of Peru. All</w:t>
      </w:r>
      <w:r>
        <w:t xml:space="preserve"> </w:t>
      </w:r>
      <w:r>
        <w:t xml:space="preserve">Banker</w:t>
      </w:r>
      <w:r>
        <w:t xml:space="preserve"> </w:t>
      </w:r>
      <w:r>
        <w:t xml:space="preserve">services and products referenced herein are subject to the regulatory oversight of the SBS and SUNAT. This document is valid only when signed by both authorized representatives. © 2025 Banco Continental del Pacífico S.A. —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Peru Lima</dc:title>
  <dc:creator/>
  <dc:language>en</dc:language>
  <cp:keywords/>
  <dcterms:created xsi:type="dcterms:W3CDTF">2026-10-10T06:41:07Z</dcterms:created>
  <dcterms:modified xsi:type="dcterms:W3CDTF">2026-10-10T06:41:07Z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