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System</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Banker Integrated Banking Solutions &amp; Equipment System</w:t>
      </w:r>
    </w:p>
    <w:p>
      <w:pPr>
        <w:pStyle w:val="BodyText"/>
      </w:pPr>
      <w:r>
        <w:t xml:space="preserve">PO No.: RSP-2025-BNK-00472</w:t>
      </w:r>
    </w:p>
    <w:p>
      <w:pPr>
        <w:pStyle w:val="BodyText"/>
      </w:pPr>
      <w:r>
        <w:t xml:space="preserve">Date of Issue: 14 June 2025</w:t>
      </w:r>
    </w:p>
    <w:p>
      <w:pPr>
        <w:pStyle w:val="BodyText"/>
      </w:pPr>
      <w:r>
        <w:t xml:space="preserve">Valid Until: 14 September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Northern Capital Financial Group LLC</w:t>
      </w:r>
    </w:p>
    <w:p>
      <w:pPr>
        <w:pStyle w:val="BodyText"/>
      </w:pPr>
      <w:r>
        <w:rPr>
          <w:bCs/>
          <w:b/>
        </w:rPr>
        <w:t xml:space="preserve">Address:</w:t>
      </w:r>
      <w:r>
        <w:t xml:space="preserve"> </w:t>
      </w:r>
      <w:r>
        <w:t xml:space="preserve">45 Nevsky Prospekt, Building 3, Floor 12, Russia Saint Petersburg, 191025</w:t>
      </w:r>
    </w:p>
    <w:p>
      <w:pPr>
        <w:pStyle w:val="BodyText"/>
      </w:pPr>
      <w:r>
        <w:rPr>
          <w:bCs/>
          <w:b/>
        </w:rPr>
        <w:t xml:space="preserve">Registration No.:</w:t>
      </w:r>
      <w:r>
        <w:t xml:space="preserve"> </w:t>
      </w:r>
      <w:r>
        <w:t xml:space="preserve">7811234567890</w:t>
      </w:r>
    </w:p>
    <w:p>
      <w:pPr>
        <w:pStyle w:val="BodyText"/>
      </w:pPr>
      <w:r>
        <w:rPr>
          <w:bCs/>
          <w:b/>
        </w:rPr>
        <w:t xml:space="preserve">Taxpayer ID (INN):</w:t>
      </w:r>
      <w:r>
        <w:t xml:space="preserve"> </w:t>
      </w:r>
      <w:r>
        <w:t xml:space="preserve">7805123456</w:t>
      </w:r>
    </w:p>
    <w:p>
      <w:pPr>
        <w:pStyle w:val="BodyText"/>
      </w:pPr>
      <w:r>
        <w:rPr>
          <w:bCs/>
          <w:b/>
        </w:rPr>
        <w:t xml:space="preserve">Contact Person:</w:t>
      </w:r>
      <w:r>
        <w:t xml:space="preserve"> </w:t>
      </w:r>
      <w:r>
        <w:t xml:space="preserve">Alexander V. Petrov, Chief Procurement Officer</w:t>
      </w:r>
    </w:p>
    <w:p>
      <w:pPr>
        <w:pStyle w:val="BodyText"/>
      </w:pPr>
      <w:r>
        <w:rPr>
          <w:bCs/>
          <w:b/>
        </w:rPr>
        <w:t xml:space="preserve">Email:</w:t>
      </w:r>
      <w:r>
        <w:t xml:space="preserve"> </w:t>
      </w:r>
      <w:r>
        <w:t xml:space="preserve">a.petrov@ncfg-sp.ru</w:t>
      </w:r>
    </w:p>
    <w:p>
      <w:pPr>
        <w:pStyle w:val="BodyText"/>
      </w:pPr>
      <w:r>
        <w:rPr>
          <w:bCs/>
          <w:b/>
        </w:rPr>
        <w:t xml:space="preserve">Phone:</w:t>
      </w:r>
      <w:r>
        <w:t xml:space="preserve"> </w:t>
      </w:r>
      <w:r>
        <w:t xml:space="preserve">+7 (812) 555-0147</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Banker Technologies International JSC</w:t>
      </w:r>
    </w:p>
    <w:p>
      <w:pPr>
        <w:pStyle w:val="BodyText"/>
      </w:pPr>
      <w:r>
        <w:rPr>
          <w:bCs/>
          <w:b/>
        </w:rPr>
        <w:t xml:space="preserve">Address:</w:t>
      </w:r>
      <w:r>
        <w:t xml:space="preserve"> </w:t>
      </w:r>
      <w:r>
        <w:t xml:space="preserve">12 Znamenskaya Street, Moscow, Russia, 101000</w:t>
      </w:r>
    </w:p>
    <w:p>
      <w:pPr>
        <w:pStyle w:val="BodyText"/>
      </w:pPr>
      <w:r>
        <w:rPr>
          <w:bCs/>
          <w:b/>
        </w:rPr>
        <w:t xml:space="preserve">Registration No.:</w:t>
      </w:r>
      <w:r>
        <w:t xml:space="preserve"> </w:t>
      </w:r>
      <w:r>
        <w:t xml:space="preserve">7709876543210</w:t>
      </w:r>
    </w:p>
    <w:p>
      <w:pPr>
        <w:pStyle w:val="BodyText"/>
      </w:pPr>
      <w:r>
        <w:rPr>
          <w:bCs/>
          <w:b/>
        </w:rPr>
        <w:t xml:space="preserve">Taxpayer ID (INN):</w:t>
      </w:r>
      <w:r>
        <w:t xml:space="preserve"> </w:t>
      </w:r>
      <w:r>
        <w:t xml:space="preserve">7701987654</w:t>
      </w:r>
    </w:p>
    <w:p>
      <w:pPr>
        <w:pStyle w:val="BodyText"/>
      </w:pPr>
      <w:r>
        <w:rPr>
          <w:bCs/>
          <w:b/>
        </w:rPr>
        <w:t xml:space="preserve">Contact Person:</w:t>
      </w:r>
      <w:r>
        <w:t xml:space="preserve"> </w:t>
      </w:r>
      <w:r>
        <w:t xml:space="preserve">Elena M. Sokolova, Regional Sales Director</w:t>
      </w:r>
    </w:p>
    <w:p>
      <w:pPr>
        <w:pStyle w:val="BodyText"/>
      </w:pPr>
      <w:r>
        <w:rPr>
          <w:bCs/>
          <w:b/>
        </w:rPr>
        <w:t xml:space="preserve">Email:</w:t>
      </w:r>
      <w:r>
        <w:t xml:space="preserve"> </w:t>
      </w:r>
      <w:r>
        <w:t xml:space="preserve">e.sokolova@banker-tech.ru</w:t>
      </w:r>
    </w:p>
    <w:p>
      <w:pPr>
        <w:pStyle w:val="BodyText"/>
      </w:pPr>
      <w:r>
        <w:rPr>
          <w:bCs/>
          <w:b/>
        </w:rPr>
        <w:t xml:space="preserve">Phone:</w:t>
      </w:r>
      <w:r>
        <w:t xml:space="preserve"> </w:t>
      </w:r>
      <w:r>
        <w:t xml:space="preserve">+7 (495) 777-2233</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Northern Capital Financial Group LLC for the acquisition, delivery, installation, and commissioning of the</w:t>
      </w:r>
      <w:r>
        <w:t xml:space="preserve"> </w:t>
      </w:r>
      <w:r>
        <w:t xml:space="preserve">Banker</w:t>
      </w:r>
      <w:r>
        <w:t xml:space="preserve"> </w:t>
      </w:r>
      <w:r>
        <w:t xml:space="preserve">Integrated Banking Solutions and Equipment System. The</w:t>
      </w:r>
      <w:r>
        <w:t xml:space="preserve"> </w:t>
      </w:r>
      <w:r>
        <w:t xml:space="preserve">Banker</w:t>
      </w:r>
      <w:r>
        <w:t xml:space="preserve"> </w:t>
      </w:r>
      <w:r>
        <w:t xml:space="preserve">system is a comprehensive suite of banking hardware, proprietary software modules, and professional services designed to modernize and secure the operational infrastructure of financial institutions. The entire</w:t>
      </w:r>
      <w:r>
        <w:t xml:space="preserve"> </w:t>
      </w:r>
      <w:r>
        <w:t xml:space="preserve">Banker</w:t>
      </w:r>
      <w:r>
        <w:t xml:space="preserve"> </w:t>
      </w:r>
      <w:r>
        <w:t xml:space="preserve">system shall be deployed, configured, and made fully operational at the buyer's primary branch office located in</w:t>
      </w:r>
      <w:r>
        <w:t xml:space="preserve"> </w:t>
      </w:r>
      <w:r>
        <w:t xml:space="preserve">Russia Saint Petersburg</w:t>
      </w:r>
      <w:r>
        <w:t xml:space="preserve">, specifically at the address listed in Section 1 above.</w:t>
      </w:r>
    </w:p>
    <w:p>
      <w:pPr>
        <w:pStyle w:val="BodyText"/>
      </w:pPr>
      <w:r>
        <w:t xml:space="preserve">The</w:t>
      </w:r>
      <w:r>
        <w:t xml:space="preserve"> </w:t>
      </w:r>
      <w:r>
        <w:t xml:space="preserve">Banker</w:t>
      </w:r>
      <w:r>
        <w:t xml:space="preserve"> </w:t>
      </w:r>
      <w:r>
        <w:t xml:space="preserve">system encompasses the following components as detailed in the itemized table below. All items are subject to the technical specifications outlined in Annex A (attached separately) and must comply with the regulatory standards set forth by the Central Bank of the Russian Federation for financial infrastructure deployed in</w:t>
      </w:r>
      <w:r>
        <w:t xml:space="preserve"> </w:t>
      </w:r>
      <w:r>
        <w:t xml:space="preserve">Russia Saint Petersburg</w:t>
      </w:r>
      <w:r>
        <w:t xml:space="preserve"> </w:t>
      </w:r>
      <w:r>
        <w:t xml:space="preserve">and the broader Northwestern Federal District.</w:t>
      </w:r>
    </w:p>
    <w:bookmarkEnd w:id="24"/>
    <w:bookmarkStart w:id="25"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Price (RUB)</w:t>
            </w:r>
          </w:p>
        </w:tc>
      </w:tr>
      <w:tr>
        <w:tc>
          <w:tcPr/>
          <w:p>
            <w:pPr>
              <w:pStyle w:val="Compact"/>
              <w:jc w:val="left"/>
            </w:pPr>
            <w:r>
              <w:t xml:space="preserve">01</w:t>
            </w:r>
          </w:p>
        </w:tc>
        <w:tc>
          <w:tcPr/>
          <w:p>
            <w:pPr>
              <w:pStyle w:val="Compact"/>
              <w:jc w:val="left"/>
            </w:pPr>
            <w:r>
              <w:t xml:space="preserve">Banker Core Processing Server (Model BK-9000X) – High-availability banking transaction processing unit with 256 GB RAM, dual Xeon processors, and encrypted storage arrays</w:t>
            </w:r>
          </w:p>
        </w:tc>
        <w:tc>
          <w:tcPr/>
          <w:p>
            <w:pPr>
              <w:pStyle w:val="Compact"/>
              <w:jc w:val="left"/>
            </w:pPr>
            <w:r>
              <w:t xml:space="preserve">4</w:t>
            </w:r>
          </w:p>
        </w:tc>
        <w:tc>
          <w:tcPr/>
          <w:p>
            <w:pPr>
              <w:pStyle w:val="Compact"/>
              <w:jc w:val="left"/>
            </w:pPr>
            <w:r>
              <w:t xml:space="preserve">Unit</w:t>
            </w:r>
          </w:p>
        </w:tc>
        <w:tc>
          <w:tcPr/>
          <w:p>
            <w:pPr>
              <w:pStyle w:val="Compact"/>
              <w:jc w:val="left"/>
            </w:pPr>
            <w:r>
              <w:t xml:space="preserve">2,850,000.00</w:t>
            </w:r>
          </w:p>
        </w:tc>
        <w:tc>
          <w:tcPr/>
          <w:p>
            <w:pPr>
              <w:pStyle w:val="Compact"/>
              <w:jc w:val="left"/>
            </w:pPr>
            <w:r>
              <w:t xml:space="preserve">11,400,000.00</w:t>
            </w:r>
          </w:p>
        </w:tc>
      </w:tr>
      <w:tr>
        <w:tc>
          <w:tcPr/>
          <w:p>
            <w:pPr>
              <w:pStyle w:val="Compact"/>
              <w:jc w:val="left"/>
            </w:pPr>
            <w:r>
              <w:t xml:space="preserve">02</w:t>
            </w:r>
          </w:p>
        </w:tc>
        <w:tc>
          <w:tcPr/>
          <w:p>
            <w:pPr>
              <w:pStyle w:val="Compact"/>
              <w:jc w:val="left"/>
            </w:pPr>
            <w:r>
              <w:t xml:space="preserve">Banker Secure Terminal Workstations (Model BK-Term-550) – Customer-facing and teller-facing terminals with biometric authentication, tamper-resistant design, and integrated cash handling modules</w:t>
            </w:r>
          </w:p>
        </w:tc>
        <w:tc>
          <w:tcPr/>
          <w:p>
            <w:pPr>
              <w:pStyle w:val="Compact"/>
              <w:jc w:val="left"/>
            </w:pPr>
            <w:r>
              <w:t xml:space="preserve">24</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11,640,000.00</w:t>
            </w:r>
          </w:p>
        </w:tc>
      </w:tr>
      <w:tr>
        <w:tc>
          <w:tcPr/>
          <w:p>
            <w:pPr>
              <w:pStyle w:val="Compact"/>
              <w:jc w:val="left"/>
            </w:pPr>
            <w:r>
              <w:t xml:space="preserve">03</w:t>
            </w:r>
          </w:p>
        </w:tc>
        <w:tc>
          <w:tcPr/>
          <w:p>
            <w:pPr>
              <w:pStyle w:val="Compact"/>
              <w:jc w:val="left"/>
            </w:pPr>
            <w:r>
              <w:t xml:space="preserve">Banker Enterprise Software License (Perpetual) – Full suite including Core Banking, Treasury Management, Risk Analytics, Regulatory Reporting, and Customer Relationship Management modules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18,750,000.00</w:t>
            </w:r>
          </w:p>
        </w:tc>
        <w:tc>
          <w:tcPr/>
          <w:p>
            <w:pPr>
              <w:pStyle w:val="Compact"/>
              <w:jc w:val="left"/>
            </w:pPr>
            <w:r>
              <w:t xml:space="preserve">18,750,000.00</w:t>
            </w:r>
          </w:p>
        </w:tc>
      </w:tr>
      <w:tr>
        <w:tc>
          <w:tcPr/>
          <w:p>
            <w:pPr>
              <w:pStyle w:val="Compact"/>
              <w:jc w:val="left"/>
            </w:pPr>
            <w:r>
              <w:t xml:space="preserve">04</w:t>
            </w:r>
          </w:p>
        </w:tc>
        <w:tc>
          <w:tcPr/>
          <w:p>
            <w:pPr>
              <w:pStyle w:val="Compact"/>
              <w:jc w:val="left"/>
            </w:pPr>
            <w:r>
              <w:t xml:space="preserve">Banker Network Security Appliance (Model BK-Sec-700) – Next-generation firewall, intrusion detection/prevention system, and data loss prevention gateway for the Russia Saint Petersburg branch network</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1,220,000.00</w:t>
            </w:r>
          </w:p>
        </w:tc>
        <w:tc>
          <w:tcPr/>
          <w:p>
            <w:pPr>
              <w:pStyle w:val="Compact"/>
              <w:jc w:val="left"/>
            </w:pPr>
            <w:r>
              <w:t xml:space="preserve">2,440,000.00</w:t>
            </w:r>
          </w:p>
        </w:tc>
      </w:tr>
      <w:tr>
        <w:tc>
          <w:tcPr/>
          <w:p>
            <w:pPr>
              <w:pStyle w:val="Compact"/>
              <w:jc w:val="left"/>
            </w:pPr>
            <w:r>
              <w:t xml:space="preserve">05</w:t>
            </w:r>
          </w:p>
        </w:tc>
        <w:tc>
          <w:tcPr/>
          <w:p>
            <w:pPr>
              <w:pStyle w:val="Compact"/>
              <w:jc w:val="left"/>
            </w:pPr>
            <w:r>
              <w:t xml:space="preserve">Banker Backup and Disaster Recovery Solution – Enterprise-grade redundant storage system with off-site replication capability, designed for the Russia Saint Petersburg data center</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6,300,000.00</w:t>
            </w:r>
          </w:p>
        </w:tc>
        <w:tc>
          <w:tcPr/>
          <w:p>
            <w:pPr>
              <w:pStyle w:val="Compact"/>
              <w:jc w:val="left"/>
            </w:pPr>
            <w:r>
              <w:t xml:space="preserve">6,300,000.00</w:t>
            </w:r>
          </w:p>
        </w:tc>
      </w:tr>
      <w:tr>
        <w:tc>
          <w:tcPr/>
          <w:p>
            <w:pPr>
              <w:pStyle w:val="Compact"/>
              <w:jc w:val="left"/>
            </w:pPr>
            <w:r>
              <w:t xml:space="preserve">06</w:t>
            </w:r>
          </w:p>
        </w:tc>
        <w:tc>
          <w:tcPr/>
          <w:p>
            <w:pPr>
              <w:pStyle w:val="Compact"/>
              <w:jc w:val="left"/>
            </w:pPr>
            <w:r>
              <w:t xml:space="preserve">Banker Professional Installation and Commissioning Services – On-site deployment, configuration, integration with existing systems, and full operational testing at the Russia Saint Petersburg premises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07</w:t>
            </w:r>
          </w:p>
        </w:tc>
        <w:tc>
          <w:tcPr/>
          <w:p>
            <w:pPr>
              <w:pStyle w:val="Compact"/>
              <w:jc w:val="left"/>
            </w:pPr>
            <w:r>
              <w:t xml:space="preserve">Banker Training Program – Comprehensive staff training for 60 employees including system administrators, tellers, and compliance officers, conducted in Russia Saint Petersburg over 10 business days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08</w:t>
            </w:r>
          </w:p>
        </w:tc>
        <w:tc>
          <w:tcPr/>
          <w:p>
            <w:pPr>
              <w:pStyle w:val="Compact"/>
              <w:jc w:val="left"/>
            </w:pPr>
            <w:r>
              <w:t xml:space="preserve">Banker Annual Maintenance and Support Contract (Year 1) – 24/7 technical support, software updates, firmware patches, and on-call engineering for the Russia Saint Petersburg installation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5,800,000.00</w:t>
            </w:r>
          </w:p>
        </w:tc>
        <w:tc>
          <w:tcPr/>
          <w:p>
            <w:pPr>
              <w:pStyle w:val="Compact"/>
              <w:jc w:val="left"/>
            </w:pPr>
            <w:r>
              <w:t xml:space="preserve">5,800,000.00</w:t>
            </w:r>
          </w:p>
        </w:tc>
      </w:tr>
      <w:tr>
        <w:tc>
          <w:tcPr>
            <w:gridSpan w:val="5"/>
          </w:tcPr>
          <w:p>
            <w:pPr>
              <w:pStyle w:val="Compact"/>
              <w:jc w:val="right"/>
            </w:pPr>
            <w:r>
              <w:t xml:space="preserve">SUBTOTAL</w:t>
            </w:r>
          </w:p>
        </w:tc>
        <w:tc>
          <w:tcPr/>
          <w:p>
            <w:pPr>
              <w:pStyle w:val="Compact"/>
              <w:jc w:val="left"/>
            </w:pPr>
            <w:r>
              <w:t xml:space="preserve">62,930,000.00</w:t>
            </w:r>
          </w:p>
        </w:tc>
      </w:tr>
      <w:tr>
        <w:tc>
          <w:tcPr>
            <w:gridSpan w:val="5"/>
          </w:tcPr>
          <w:p>
            <w:pPr>
              <w:pStyle w:val="Compact"/>
              <w:jc w:val="right"/>
            </w:pPr>
            <w:r>
              <w:t xml:space="preserve">VAT (20%)</w:t>
            </w:r>
          </w:p>
        </w:tc>
        <w:tc>
          <w:tcPr/>
          <w:p>
            <w:pPr>
              <w:pStyle w:val="Compact"/>
              <w:jc w:val="left"/>
            </w:pPr>
            <w:r>
              <w:t xml:space="preserve">12,586,000.00</w:t>
            </w:r>
          </w:p>
        </w:tc>
      </w:tr>
      <w:tr>
        <w:tc>
          <w:tcPr>
            <w:gridSpan w:val="5"/>
          </w:tcPr>
          <w:p>
            <w:pPr>
              <w:pStyle w:val="Compact"/>
              <w:jc w:val="right"/>
            </w:pPr>
            <w:r>
              <w:t xml:space="preserve">TOTAL AMOUNT DUE (RUB)</w:t>
            </w:r>
          </w:p>
        </w:tc>
        <w:tc>
          <w:tcPr/>
          <w:p>
            <w:pPr>
              <w:pStyle w:val="Compact"/>
              <w:jc w:val="left"/>
            </w:pPr>
            <w:r>
              <w:t xml:space="preserve">75,516,000.00</w:t>
            </w:r>
          </w:p>
        </w:tc>
      </w:tr>
    </w:tbl>
    <w:bookmarkEnd w:id="25"/>
    <w:bookmarkStart w:id="26" w:name="delivery-and-installation-terms"/>
    <w:p>
      <w:pPr>
        <w:pStyle w:val="Heading2"/>
      </w:pPr>
      <w:r>
        <w:t xml:space="preserve">4. Delivery and Installation Terms</w:t>
      </w:r>
    </w:p>
    <w:p>
      <w:pPr>
        <w:pStyle w:val="FirstParagraph"/>
      </w:pPr>
      <w:r>
        <w:t xml:space="preserve">All</w:t>
      </w:r>
      <w:r>
        <w:t xml:space="preserve"> </w:t>
      </w:r>
      <w:r>
        <w:t xml:space="preserve">Banker</w:t>
      </w:r>
      <w:r>
        <w:t xml:space="preserve"> </w:t>
      </w:r>
      <w:r>
        <w:t xml:space="preserve">hardware components shall be delivered to the buyer's facility at 45 Nevsky Prospekt, Building 3,</w:t>
      </w:r>
      <w:r>
        <w:t xml:space="preserve"> </w:t>
      </w:r>
      <w:r>
        <w:t xml:space="preserve">Russia Saint Petersburg</w:t>
      </w:r>
      <w:r>
        <w:t xml:space="preserve">, 191025, no later than 30 July 2025. The supplier, Banker Technologies International JSC, shall bear all costs associated with transportation, insurance, customs clearance (if applicable), and physical handling of the</w:t>
      </w:r>
      <w:r>
        <w:t xml:space="preserve"> </w:t>
      </w:r>
      <w:r>
        <w:t xml:space="preserve">Banker</w:t>
      </w:r>
      <w:r>
        <w:t xml:space="preserve"> </w:t>
      </w:r>
      <w:r>
        <w:t xml:space="preserve">equipment until it is received and signed for by the buyer's designated receiving officer in</w:t>
      </w:r>
      <w:r>
        <w:t xml:space="preserve"> </w:t>
      </w:r>
      <w:r>
        <w:t xml:space="preserve">Russia Saint Petersburg</w:t>
      </w:r>
      <w:r>
        <w:t xml:space="preserve">.</w:t>
      </w:r>
    </w:p>
    <w:p>
      <w:pPr>
        <w:pStyle w:val="BodyText"/>
      </w:pPr>
      <w:r>
        <w:t xml:space="preserve">Installation, configuration, and commissioning of the</w:t>
      </w:r>
      <w:r>
        <w:t xml:space="preserve"> </w:t>
      </w:r>
      <w:r>
        <w:t xml:space="preserve">Banker</w:t>
      </w:r>
      <w:r>
        <w:t xml:space="preserve"> </w:t>
      </w:r>
      <w:r>
        <w:t xml:space="preserve">system shall commence within five (5) business days of hardware delivery and shall be completed no later than 15 August 2025. The supplier shall assign a dedicated project manager and a team of no fewer than six (6) certified</w:t>
      </w:r>
      <w:r>
        <w:t xml:space="preserve"> </w:t>
      </w:r>
      <w:r>
        <w:t xml:space="preserve">Banker</w:t>
      </w:r>
      <w:r>
        <w:t xml:space="preserve"> </w:t>
      </w:r>
      <w:r>
        <w:t xml:space="preserve">system engineers to be physically present at the</w:t>
      </w:r>
      <w:r>
        <w:t xml:space="preserve"> </w:t>
      </w:r>
      <w:r>
        <w:t xml:space="preserve">Russia Saint Petersburg</w:t>
      </w:r>
      <w:r>
        <w:t xml:space="preserve"> </w:t>
      </w:r>
      <w:r>
        <w:t xml:space="preserve">site throughout the installation period.</w:t>
      </w:r>
    </w:p>
    <w:bookmarkEnd w:id="26"/>
    <w:bookmarkStart w:id="27"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30% of the total Purchase Order value (RUB 22,654,800.00) shall be paid within ten (10) business days of the mutual signing of this Purchase Order, via wire transfer to the supplier's designated account.</w:t>
      </w:r>
    </w:p>
    <w:p>
      <w:pPr>
        <w:numPr>
          <w:ilvl w:val="0"/>
          <w:numId w:val="1001"/>
        </w:numPr>
        <w:pStyle w:val="Compact"/>
      </w:pPr>
      <w:r>
        <w:rPr>
          <w:bCs/>
          <w:b/>
        </w:rPr>
        <w:t xml:space="preserve">Delivery Payment:</w:t>
      </w:r>
      <w:r>
        <w:t xml:space="preserve"> </w:t>
      </w:r>
      <w:r>
        <w:t xml:space="preserve">40% of the total Purchase Order value (RUB 30,206,400.00) shall be due within fifteen (15) business days following confirmed delivery and physical acceptance of all</w:t>
      </w:r>
      <w:r>
        <w:t xml:space="preserve"> </w:t>
      </w:r>
      <w:r>
        <w:t xml:space="preserve">Banker</w:t>
      </w:r>
      <w:r>
        <w:t xml:space="preserve"> </w:t>
      </w:r>
      <w:r>
        <w:t xml:space="preserve">hardware at the</w:t>
      </w:r>
      <w:r>
        <w:t xml:space="preserve"> </w:t>
      </w:r>
      <w:r>
        <w:t xml:space="preserve">Russia Saint Petersburg</w:t>
      </w:r>
      <w:r>
        <w:t xml:space="preserve"> </w:t>
      </w:r>
      <w:r>
        <w:t xml:space="preserve">site.</w:t>
      </w:r>
    </w:p>
    <w:p>
      <w:pPr>
        <w:numPr>
          <w:ilvl w:val="0"/>
          <w:numId w:val="1001"/>
        </w:numPr>
        <w:pStyle w:val="Compact"/>
      </w:pPr>
      <w:r>
        <w:rPr>
          <w:bCs/>
          <w:b/>
        </w:rPr>
        <w:t xml:space="preserve">Commissioning Payment:</w:t>
      </w:r>
      <w:r>
        <w:t xml:space="preserve"> </w:t>
      </w:r>
      <w:r>
        <w:t xml:space="preserve">25% of the total Purchase Order value (RUB 18,879,000.00) shall be due within ten (10) business days following successful completion of all commissioning tests and issuance of the Certificate of Operational Readiness for the</w:t>
      </w:r>
      <w:r>
        <w:t xml:space="preserve"> </w:t>
      </w:r>
      <w:r>
        <w:t xml:space="preserve">Banker</w:t>
      </w:r>
      <w:r>
        <w:t xml:space="preserve"> </w:t>
      </w:r>
      <w:r>
        <w:t xml:space="preserve">system.</w:t>
      </w:r>
    </w:p>
    <w:p>
      <w:pPr>
        <w:numPr>
          <w:ilvl w:val="0"/>
          <w:numId w:val="1001"/>
        </w:numPr>
        <w:pStyle w:val="Compact"/>
      </w:pPr>
      <w:r>
        <w:rPr>
          <w:bCs/>
          <w:b/>
        </w:rPr>
        <w:t xml:space="preserve">Retention Payment:</w:t>
      </w:r>
      <w:r>
        <w:t xml:space="preserve"> </w:t>
      </w:r>
      <w:r>
        <w:t xml:space="preserve">5% of the total Purchase Order value (RUB 3,775,800.00) shall be held in escrow and released upon successful completion of the first ninety (90) days of the</w:t>
      </w:r>
      <w:r>
        <w:t xml:space="preserve"> </w:t>
      </w:r>
      <w:r>
        <w:t xml:space="preserve">Banker</w:t>
      </w:r>
      <w:r>
        <w:t xml:space="preserve"> </w:t>
      </w:r>
      <w:r>
        <w:t xml:space="preserve">Annual Maintenance and Support Contract without any critical system failures.</w:t>
      </w:r>
    </w:p>
    <w:bookmarkEnd w:id="27"/>
    <w:bookmarkStart w:id="28" w:name="warranties-and-compliance"/>
    <w:p>
      <w:pPr>
        <w:pStyle w:val="Heading2"/>
      </w:pPr>
      <w:r>
        <w:t xml:space="preserve">6. Warranties and Compliance</w:t>
      </w:r>
    </w:p>
    <w:p>
      <w:pPr>
        <w:pStyle w:val="FirstParagraph"/>
      </w:pPr>
      <w:r>
        <w:t xml:space="preserve">The supplier warrants that all</w:t>
      </w:r>
      <w:r>
        <w:t xml:space="preserve"> </w:t>
      </w:r>
      <w:r>
        <w:t xml:space="preserve">Banker</w:t>
      </w:r>
      <w:r>
        <w:t xml:space="preserve"> </w:t>
      </w:r>
      <w:r>
        <w:t xml:space="preserve">hardware and software delivered under this Purchase Order shall be free from defects in materials and workmanship for a period of thirty-six (36) months from the date of commissioning. The</w:t>
      </w:r>
      <w:r>
        <w:t xml:space="preserve"> </w:t>
      </w:r>
      <w:r>
        <w:t xml:space="preserve">Banker</w:t>
      </w:r>
      <w:r>
        <w:t xml:space="preserve"> </w:t>
      </w:r>
      <w:r>
        <w:t xml:space="preserve">system shall comply with all applicable regulations of the Central Bank of the Russian Federation, the Federal Law on Personal Data (No. 152-FZ), and all cybersecurity standards mandated for financial institutions operating in</w:t>
      </w:r>
      <w:r>
        <w:t xml:space="preserve"> </w:t>
      </w:r>
      <w:r>
        <w:t xml:space="preserve">Russia Saint Petersburg</w:t>
      </w:r>
      <w:r>
        <w:t xml:space="preserve"> </w:t>
      </w:r>
      <w:r>
        <w:t xml:space="preserve">and the Russian Federation at large.</w:t>
      </w:r>
    </w:p>
    <w:p>
      <w:pPr>
        <w:pStyle w:val="BodyText"/>
      </w:pPr>
      <w:r>
        <w:t xml:space="preserve">The supplier further warrants that the</w:t>
      </w:r>
      <w:r>
        <w:t xml:space="preserve"> </w:t>
      </w:r>
      <w:r>
        <w:t xml:space="preserve">Banker</w:t>
      </w:r>
      <w:r>
        <w:t xml:space="preserve"> </w:t>
      </w:r>
      <w:r>
        <w:t xml:space="preserve">Enterprise Software License shall remain fully functional, up to date, and compliant with all regulatory changes enacted during the first year of operation in</w:t>
      </w:r>
      <w:r>
        <w:t xml:space="preserve"> </w:t>
      </w:r>
      <w:r>
        <w:t xml:space="preserve">Russia Saint Petersburg</w:t>
      </w:r>
      <w:r>
        <w:t xml:space="preserve">.</w:t>
      </w:r>
    </w:p>
    <w:bookmarkEnd w:id="28"/>
    <w:bookmarkStart w:id="29"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civil and commercial laws of the Russian Federation. Any disputes arising from or in connection with this Purchase Order, including the supply, installation, or operation of the</w:t>
      </w:r>
      <w:r>
        <w:t xml:space="preserve"> </w:t>
      </w:r>
      <w:r>
        <w:t xml:space="preserve">Banker</w:t>
      </w:r>
      <w:r>
        <w:t xml:space="preserve"> </w:t>
      </w:r>
      <w:r>
        <w:t xml:space="preserve">system in</w:t>
      </w:r>
      <w:r>
        <w:t xml:space="preserve"> </w:t>
      </w:r>
      <w:r>
        <w:t xml:space="preserve">Russia Saint Petersburg</w:t>
      </w:r>
      <w:r>
        <w:t xml:space="preserve">, shall be resolved through binding arbitration administered by the Arbitration Court of the City of Saint Petersburg, Russia. The language of arbitration shall be Russian, with English translations provided for all technical documentation related to the</w:t>
      </w:r>
      <w:r>
        <w:t xml:space="preserve"> </w:t>
      </w:r>
      <w:r>
        <w:t xml:space="preserve">Banker</w:t>
      </w:r>
      <w:r>
        <w:t xml:space="preserve"> </w:t>
      </w:r>
      <w:r>
        <w:t xml:space="preserve">system.</w:t>
      </w:r>
    </w:p>
    <w:bookmarkEnd w:id="29"/>
    <w:bookmarkStart w:id="30" w:name="acceptance-and-authorization"/>
    <w:p>
      <w:pPr>
        <w:pStyle w:val="Heading2"/>
      </w:pPr>
      <w:r>
        <w:t xml:space="preserve">8. Acceptance and Authorization</w:t>
      </w:r>
    </w:p>
    <w:p>
      <w:pPr>
        <w:pStyle w:val="FirstParagraph"/>
      </w:pPr>
      <w:r>
        <w:t xml:space="preserve">By signing below, both parties acknowledge and agree to all terms, conditions, specifications, and obligations set forth in this Purchase Order for the</w:t>
      </w:r>
      <w:r>
        <w:t xml:space="preserve"> </w:t>
      </w:r>
      <w:r>
        <w:t xml:space="preserve">Banker</w:t>
      </w:r>
      <w:r>
        <w:t xml:space="preserve"> </w:t>
      </w:r>
      <w:r>
        <w:t xml:space="preserve">Integrated Banking Solutions and Equipment System to be deployed in</w:t>
      </w:r>
      <w:r>
        <w:t xml:space="preserve"> </w:t>
      </w:r>
      <w:r>
        <w:t xml:space="preserve">Russia Saint Petersburg</w:t>
      </w:r>
      <w:r>
        <w:t xml:space="preserve">. This Purchase Order constitutes a binding commercial agreement between the parties upon execution by both authorized signatories.</w:t>
      </w:r>
    </w:p>
    <w:bookmarkEnd w:id="30"/>
    <w:p>
      <w:pPr>
        <w:pStyle w:val="BodyText"/>
      </w:pPr>
      <w:r>
        <w:rPr>
          <w:bCs/>
          <w:b/>
        </w:rPr>
        <w:t xml:space="preserve">For and on behalf of the Buyer:</w:t>
      </w:r>
    </w:p>
    <w:p>
      <w:pPr>
        <w:pStyle w:val="BodyText"/>
      </w:pPr>
      <w:r>
        <w:t xml:space="preserve">Northern Capital Financial Group LLC</w:t>
      </w:r>
    </w:p>
    <w:p>
      <w:pPr>
        <w:pStyle w:val="BodyText"/>
      </w:pPr>
      <w:r>
        <w:t xml:space="preserve">Alexander V. Petrov</w:t>
      </w:r>
      <w:r>
        <w:br/>
      </w:r>
      <w:r>
        <w:t xml:space="preserve">Chief Procurement Officer</w:t>
      </w:r>
      <w:r>
        <w:br/>
      </w:r>
      <w:r>
        <w:t xml:space="preserve">Date: _______________</w:t>
      </w:r>
    </w:p>
    <w:p>
      <w:pPr>
        <w:pStyle w:val="BodyText"/>
      </w:pPr>
      <w:r>
        <w:rPr>
          <w:bCs/>
          <w:b/>
        </w:rPr>
        <w:t xml:space="preserve">For and on behalf of the Seller:</w:t>
      </w:r>
    </w:p>
    <w:p>
      <w:pPr>
        <w:pStyle w:val="BodyText"/>
      </w:pPr>
      <w:r>
        <w:t xml:space="preserve">Banker Technologies International JSC</w:t>
      </w:r>
    </w:p>
    <w:p>
      <w:pPr>
        <w:pStyle w:val="BodyText"/>
      </w:pPr>
      <w:r>
        <w:t xml:space="preserve">Elena M. Sokolova</w:t>
      </w:r>
      <w:r>
        <w:br/>
      </w:r>
      <w:r>
        <w:t xml:space="preserve">Regional Sales Director</w:t>
      </w:r>
      <w:r>
        <w:br/>
      </w:r>
      <w:r>
        <w:t xml:space="preserve">Date: _______________</w:t>
      </w:r>
    </w:p>
    <w:p>
      <w:pPr>
        <w:pStyle w:val="BodyText"/>
      </w:pPr>
      <w:r>
        <w:t xml:space="preserve">Purchase Order No. RSP-2025-BNK-00472 | Banker Integrated Banking Solutions | Russia Saint Petersburg</w:t>
      </w:r>
    </w:p>
    <w:p>
      <w:pPr>
        <w:pStyle w:val="BodyText"/>
      </w:pPr>
      <w:r>
        <w:t xml:space="preserve">Document Classification: Commercial – Confidential | Page 1 of 1</w:t>
      </w:r>
    </w:p>
    <w:p>
      <w:pPr>
        <w:pStyle w:val="BodyText"/>
      </w:pPr>
      <w:r>
        <w:t xml:space="preserve">This Purchase Order is issued in two (2) original copies, one for each party. Electronic copies bear equal legal weight under Federal Law No. 63-FZ on Electronic Signatures.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System - Russia Saint Petersburg</dc:title>
  <dc:creator/>
  <dc:language>en</dc:language>
  <cp:keywords/>
  <dcterms:created xsi:type="dcterms:W3CDTF">2026-10-10T06:32:51Z</dcterms:created>
  <dcterms:modified xsi:type="dcterms:W3CDTF">2026-10-10T06:32:51Z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