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Banker Services &amp; Banking Infrastructure Procurement</w:t>
      </w:r>
    </w:p>
    <w:p>
      <w:pPr>
        <w:pStyle w:val="BodyText"/>
      </w:pPr>
      <w:r>
        <w:t xml:space="preserve">PO No.: SAR-RYD-2025-04782</w:t>
      </w:r>
    </w:p>
    <w:p>
      <w:pPr>
        <w:pStyle w:val="BodyText"/>
      </w:pPr>
      <w:r>
        <w:t xml:space="preserve">Date of Issue: 15 June 2025</w:t>
      </w:r>
    </w:p>
    <w:p>
      <w:pPr>
        <w:pStyle w:val="BodyText"/>
      </w:pPr>
      <w:r>
        <w:t xml:space="preserve">Valid Until: 15 September 2025</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Al-Riyadh Financial Services Group</w:t>
      </w:r>
    </w:p>
    <w:p>
      <w:pPr>
        <w:pStyle w:val="BodyText"/>
      </w:pPr>
      <w:r>
        <w:rPr>
          <w:bCs/>
          <w:b/>
        </w:rPr>
        <w:t xml:space="preserve">Address:</w:t>
      </w:r>
      <w:r>
        <w:t xml:space="preserve"> </w:t>
      </w:r>
      <w:r>
        <w:t xml:space="preserve">King Fahd Road, Al Olaya District, Riyadh 12214, Saudi Arabia</w:t>
      </w:r>
    </w:p>
    <w:p>
      <w:pPr>
        <w:pStyle w:val="BodyText"/>
      </w:pPr>
      <w:r>
        <w:rPr>
          <w:bCs/>
          <w:b/>
        </w:rPr>
        <w:t xml:space="preserve">CR No.:</w:t>
      </w:r>
      <w:r>
        <w:t xml:space="preserve"> </w:t>
      </w:r>
      <w:r>
        <w:t xml:space="preserve">1010XXXXXX</w:t>
      </w:r>
    </w:p>
    <w:p>
      <w:pPr>
        <w:pStyle w:val="BodyText"/>
      </w:pPr>
      <w:r>
        <w:rPr>
          <w:bCs/>
          <w:b/>
        </w:rPr>
        <w:t xml:space="preserve">VAT No.:</w:t>
      </w:r>
      <w:r>
        <w:t xml:space="preserve"> </w:t>
      </w:r>
      <w:r>
        <w:t xml:space="preserve">3101XXXXXX-XXXX-XXXXX</w:t>
      </w:r>
    </w:p>
    <w:p>
      <w:pPr>
        <w:pStyle w:val="BodyText"/>
      </w:pPr>
      <w:r>
        <w:rPr>
          <w:bCs/>
          <w:b/>
        </w:rPr>
        <w:t xml:space="preserve">Contact:</w:t>
      </w:r>
      <w:r>
        <w:t xml:space="preserve"> </w:t>
      </w:r>
      <w:r>
        <w:t xml:space="preserve">Mr. Khalid Al-Mutairi, Procurement Director</w:t>
      </w:r>
    </w:p>
    <w:p>
      <w:pPr>
        <w:pStyle w:val="BodyText"/>
      </w:pPr>
      <w:r>
        <w:rPr>
          <w:bCs/>
          <w:b/>
        </w:rPr>
        <w:t xml:space="preserve">Email:</w:t>
      </w:r>
      <w:r>
        <w:t xml:space="preserve"> </w:t>
      </w:r>
      <w:r>
        <w:t xml:space="preserve">procurement@alriyadh-fsg.sa</w:t>
      </w:r>
    </w:p>
    <w:p>
      <w:pPr>
        <w:pStyle w:val="BodyText"/>
      </w:pPr>
      <w:r>
        <w:rPr>
          <w:bCs/>
          <w:b/>
        </w:rPr>
        <w:t xml:space="preserve">Phone:</w:t>
      </w:r>
      <w:r>
        <w:t xml:space="preserve"> </w:t>
      </w:r>
      <w:r>
        <w:t xml:space="preserve">+966 11 456 7890</w:t>
      </w:r>
    </w:p>
    <w:bookmarkEnd w:id="21"/>
    <w:bookmarkStart w:id="22" w:name="supplier-banker-service-provider"/>
    <w:p>
      <w:pPr>
        <w:pStyle w:val="Heading3"/>
      </w:pPr>
      <w:r>
        <w:t xml:space="preserve">Supplier (Banker Service Provider)</w:t>
      </w:r>
    </w:p>
    <w:p>
      <w:pPr>
        <w:pStyle w:val="FirstParagraph"/>
      </w:pPr>
      <w:r>
        <w:rPr>
          <w:bCs/>
          <w:b/>
        </w:rPr>
        <w:t xml:space="preserve">Company:</w:t>
      </w:r>
      <w:r>
        <w:t xml:space="preserve"> </w:t>
      </w:r>
      <w:r>
        <w:t xml:space="preserve">Saudi Banker Solutions &amp; Consulting Ltd.</w:t>
      </w:r>
    </w:p>
    <w:p>
      <w:pPr>
        <w:pStyle w:val="BodyText"/>
      </w:pPr>
      <w:r>
        <w:rPr>
          <w:bCs/>
          <w:b/>
        </w:rPr>
        <w:t xml:space="preserve">Address:</w:t>
      </w:r>
      <w:r>
        <w:t xml:space="preserve"> </w:t>
      </w:r>
      <w:r>
        <w:t xml:space="preserve">Olaya Tower, 12th Floor, King Fahd Road, Riyadh 12211, Saudi Arabia</w:t>
      </w:r>
    </w:p>
    <w:p>
      <w:pPr>
        <w:pStyle w:val="BodyText"/>
      </w:pPr>
      <w:r>
        <w:rPr>
          <w:bCs/>
          <w:b/>
        </w:rPr>
        <w:t xml:space="preserve">CR No.:</w:t>
      </w:r>
      <w:r>
        <w:t xml:space="preserve"> </w:t>
      </w:r>
      <w:r>
        <w:t xml:space="preserve">1010YYYYYY</w:t>
      </w:r>
    </w:p>
    <w:p>
      <w:pPr>
        <w:pStyle w:val="BodyText"/>
      </w:pPr>
      <w:r>
        <w:rPr>
          <w:bCs/>
          <w:b/>
        </w:rPr>
        <w:t xml:space="preserve">VAT No.:</w:t>
      </w:r>
      <w:r>
        <w:t xml:space="preserve"> </w:t>
      </w:r>
      <w:r>
        <w:t xml:space="preserve">3101YYYYYY-YYYY-YYYYY</w:t>
      </w:r>
    </w:p>
    <w:p>
      <w:pPr>
        <w:pStyle w:val="BodyText"/>
      </w:pPr>
      <w:r>
        <w:rPr>
          <w:bCs/>
          <w:b/>
        </w:rPr>
        <w:t xml:space="preserve">Contact:</w:t>
      </w:r>
      <w:r>
        <w:t xml:space="preserve"> </w:t>
      </w:r>
      <w:r>
        <w:t xml:space="preserve">Ms. Noura Al-Harbi, Account Manager</w:t>
      </w:r>
    </w:p>
    <w:p>
      <w:pPr>
        <w:pStyle w:val="BodyText"/>
      </w:pPr>
      <w:r>
        <w:rPr>
          <w:bCs/>
          <w:b/>
        </w:rPr>
        <w:t xml:space="preserve">Email:</w:t>
      </w:r>
      <w:r>
        <w:t xml:space="preserve"> </w:t>
      </w:r>
      <w:r>
        <w:t xml:space="preserve">sales@saudibankersolutions.sa</w:t>
      </w:r>
    </w:p>
    <w:p>
      <w:pPr>
        <w:pStyle w:val="BodyText"/>
      </w:pPr>
      <w:r>
        <w:rPr>
          <w:bCs/>
          <w:b/>
        </w:rPr>
        <w:t xml:space="preserve">Phone:</w:t>
      </w:r>
      <w:r>
        <w:t xml:space="preserve"> </w:t>
      </w:r>
      <w:r>
        <w:t xml:space="preserve">+966 11 234 5678</w:t>
      </w:r>
    </w:p>
    <w:bookmarkEnd w:id="22"/>
    <w:bookmarkEnd w:id="23"/>
    <w:bookmarkStart w:id="24" w:name="description-of-goods-and-services"/>
    <w:p>
      <w:pPr>
        <w:pStyle w:val="Heading2"/>
      </w:pPr>
      <w:r>
        <w:t xml:space="preserve">2. Description of Goods and Services</w:t>
      </w:r>
    </w:p>
    <w:p>
      <w:pPr>
        <w:pStyle w:val="FirstParagraph"/>
      </w:pPr>
      <w:r>
        <w:t xml:space="preserve">This Purchase Order is issued by Al-Riyadh Financial Services Group for the procurement of professional</w:t>
      </w:r>
      <w:r>
        <w:t xml:space="preserve"> </w:t>
      </w:r>
      <w:r>
        <w:t xml:space="preserve">Banker</w:t>
      </w:r>
      <w:r>
        <w:t xml:space="preserve"> </w:t>
      </w:r>
      <w:r>
        <w:t xml:space="preserve">services, banking infrastructure, and related consulting deliverables to be delivered and executed within the city of</w:t>
      </w:r>
      <w:r>
        <w:t xml:space="preserve"> </w:t>
      </w:r>
      <w:r>
        <w:t xml:space="preserve">Riyadh</w:t>
      </w:r>
      <w:r>
        <w:t xml:space="preserve">,</w:t>
      </w:r>
      <w:r>
        <w:t xml:space="preserve"> </w:t>
      </w:r>
      <w:r>
        <w:t xml:space="preserve">Saudi Arabia</w:t>
      </w:r>
      <w:r>
        <w:t xml:space="preserve">. The scope encompasses the engagement of certified banker professionals, deployment of banking technology systems, and provision of ongoing financial advisory services in compliance with the regulations set forth by the Saudi Central Bank (SAMA) and the Capital Market Authority (CMA).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Senior Banker Professional Services – Corporate Banking Division (12-month engagement, Riyadh office)</w:t>
            </w:r>
          </w:p>
        </w:tc>
        <w:tc>
          <w:tcPr/>
          <w:p>
            <w:pPr>
              <w:pStyle w:val="Compact"/>
              <w:jc w:val="left"/>
            </w:pPr>
            <w:r>
              <w:t xml:space="preserve">4</w:t>
            </w:r>
          </w:p>
        </w:tc>
        <w:tc>
          <w:tcPr/>
          <w:p>
            <w:pPr>
              <w:pStyle w:val="Compact"/>
              <w:jc w:val="left"/>
            </w:pPr>
            <w:r>
              <w:t xml:space="preserve">Positions</w:t>
            </w:r>
          </w:p>
        </w:tc>
        <w:tc>
          <w:tcPr/>
          <w:p>
            <w:pPr>
              <w:pStyle w:val="Compact"/>
              <w:jc w:val="left"/>
            </w:pPr>
            <w:r>
              <w:t xml:space="preserve">185,000.00</w:t>
            </w:r>
          </w:p>
        </w:tc>
        <w:tc>
          <w:tcPr/>
          <w:p>
            <w:pPr>
              <w:pStyle w:val="Compact"/>
              <w:jc w:val="left"/>
            </w:pPr>
            <w:r>
              <w:t xml:space="preserve">740,000.00</w:t>
            </w:r>
          </w:p>
        </w:tc>
      </w:tr>
      <w:tr>
        <w:tc>
          <w:tcPr/>
          <w:p>
            <w:pPr>
              <w:pStyle w:val="Compact"/>
              <w:jc w:val="left"/>
            </w:pPr>
            <w:r>
              <w:t xml:space="preserve">02</w:t>
            </w:r>
          </w:p>
        </w:tc>
        <w:tc>
          <w:tcPr/>
          <w:p>
            <w:pPr>
              <w:pStyle w:val="Compact"/>
              <w:jc w:val="left"/>
            </w:pPr>
            <w:r>
              <w:t xml:space="preserve">Banker Training &amp; Certification Program – SAMA Compliance Curriculum (Riyadh Training Center)</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03</w:t>
            </w:r>
          </w:p>
        </w:tc>
        <w:tc>
          <w:tcPr/>
          <w:p>
            <w:pPr>
              <w:pStyle w:val="Compact"/>
              <w:jc w:val="left"/>
            </w:pPr>
            <w:r>
              <w:t xml:space="preserve">Banking Core System Deployment &amp; Integration – Riyadh Main Branch</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04</w:t>
            </w:r>
          </w:p>
        </w:tc>
        <w:tc>
          <w:tcPr/>
          <w:p>
            <w:pPr>
              <w:pStyle w:val="Compact"/>
              <w:jc w:val="left"/>
            </w:pPr>
            <w:r>
              <w:t xml:space="preserve">Banker Advisory &amp; Risk Assessment Services – Quarterly Reports (Riyadh Region)</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95,000.00</w:t>
            </w:r>
          </w:p>
        </w:tc>
        <w:tc>
          <w:tcPr/>
          <w:p>
            <w:pPr>
              <w:pStyle w:val="Compact"/>
              <w:jc w:val="left"/>
            </w:pPr>
            <w:r>
              <w:t xml:space="preserve">380,000.00</w:t>
            </w:r>
          </w:p>
        </w:tc>
      </w:tr>
      <w:tr>
        <w:tc>
          <w:tcPr/>
          <w:p>
            <w:pPr>
              <w:pStyle w:val="Compact"/>
              <w:jc w:val="left"/>
            </w:pPr>
            <w:r>
              <w:t xml:space="preserve">05</w:t>
            </w:r>
          </w:p>
        </w:tc>
        <w:tc>
          <w:tcPr/>
          <w:p>
            <w:pPr>
              <w:pStyle w:val="Compact"/>
              <w:jc w:val="left"/>
            </w:pPr>
            <w:r>
              <w:t xml:space="preserve">Banker Workstation Hardware &amp; Security Equipment (Riyadh Office Fit-out)</w:t>
            </w:r>
          </w:p>
        </w:tc>
        <w:tc>
          <w:tcPr/>
          <w:p>
            <w:pPr>
              <w:pStyle w:val="Compact"/>
              <w:jc w:val="left"/>
            </w:pPr>
            <w:r>
              <w:t xml:space="preserve">20</w:t>
            </w:r>
          </w:p>
        </w:tc>
        <w:tc>
          <w:tcPr/>
          <w:p>
            <w:pPr>
              <w:pStyle w:val="Compact"/>
              <w:jc w:val="left"/>
            </w:pPr>
            <w:r>
              <w:t xml:space="preserve">Units</w:t>
            </w:r>
          </w:p>
        </w:tc>
        <w:tc>
          <w:tcPr/>
          <w:p>
            <w:pPr>
              <w:pStyle w:val="Compact"/>
              <w:jc w:val="left"/>
            </w:pPr>
            <w:r>
              <w:t xml:space="preserve">12,500.00</w:t>
            </w:r>
          </w:p>
        </w:tc>
        <w:tc>
          <w:tcPr/>
          <w:p>
            <w:pPr>
              <w:pStyle w:val="Compact"/>
              <w:jc w:val="left"/>
            </w:pPr>
            <w:r>
              <w:t xml:space="preserve">250,000.00</w:t>
            </w:r>
          </w:p>
        </w:tc>
      </w:tr>
      <w:tr>
        <w:tc>
          <w:tcPr/>
          <w:p>
            <w:pPr>
              <w:pStyle w:val="Compact"/>
              <w:jc w:val="left"/>
            </w:pPr>
            <w:r>
              <w:t xml:space="preserve">06</w:t>
            </w:r>
          </w:p>
        </w:tc>
        <w:tc>
          <w:tcPr/>
          <w:p>
            <w:pPr>
              <w:pStyle w:val="Compact"/>
              <w:jc w:val="left"/>
            </w:pPr>
            <w:r>
              <w:t xml:space="preserve">Banker Software Licenses – Portfolio Management &amp; Client Relationship Suite</w:t>
            </w:r>
          </w:p>
        </w:tc>
        <w:tc>
          <w:tcPr/>
          <w:p>
            <w:pPr>
              <w:pStyle w:val="Compact"/>
              <w:jc w:val="left"/>
            </w:pPr>
            <w:r>
              <w:t xml:space="preserve">50</w:t>
            </w:r>
          </w:p>
        </w:tc>
        <w:tc>
          <w:tcPr/>
          <w:p>
            <w:pPr>
              <w:pStyle w:val="Compact"/>
              <w:jc w:val="left"/>
            </w:pPr>
            <w:r>
              <w:t xml:space="preserve">Licenses</w:t>
            </w:r>
          </w:p>
        </w:tc>
        <w:tc>
          <w:tcPr/>
          <w:p>
            <w:pPr>
              <w:pStyle w:val="Compact"/>
              <w:jc w:val="left"/>
            </w:pPr>
            <w:r>
              <w:t xml:space="preserve">8,200.00</w:t>
            </w:r>
          </w:p>
        </w:tc>
        <w:tc>
          <w:tcPr/>
          <w:p>
            <w:pPr>
              <w:pStyle w:val="Compact"/>
              <w:jc w:val="left"/>
            </w:pPr>
            <w:r>
              <w:t xml:space="preserve">410,000.00</w:t>
            </w:r>
          </w:p>
        </w:tc>
      </w:tr>
      <w:tr>
        <w:tc>
          <w:tcPr>
            <w:gridSpan w:val="5"/>
          </w:tcPr>
          <w:p>
            <w:pPr>
              <w:pStyle w:val="Compact"/>
              <w:jc w:val="right"/>
            </w:pPr>
            <w:r>
              <w:t xml:space="preserve">Subtotal (SAR)</w:t>
            </w:r>
          </w:p>
        </w:tc>
        <w:tc>
          <w:tcPr/>
          <w:p>
            <w:pPr>
              <w:pStyle w:val="Compact"/>
              <w:jc w:val="left"/>
            </w:pPr>
            <w:r>
              <w:t xml:space="preserve">3,305,000.00</w:t>
            </w:r>
          </w:p>
        </w:tc>
      </w:tr>
      <w:tr>
        <w:tc>
          <w:tcPr>
            <w:gridSpan w:val="5"/>
          </w:tcPr>
          <w:p>
            <w:pPr>
              <w:pStyle w:val="Compact"/>
              <w:jc w:val="right"/>
            </w:pPr>
            <w:r>
              <w:t xml:space="preserve">VAT @ 15% (Saudi Arabia)</w:t>
            </w:r>
          </w:p>
        </w:tc>
        <w:tc>
          <w:tcPr/>
          <w:p>
            <w:pPr>
              <w:pStyle w:val="Compact"/>
              <w:jc w:val="left"/>
            </w:pPr>
            <w:r>
              <w:t xml:space="preserve">495,750.00</w:t>
            </w:r>
          </w:p>
        </w:tc>
      </w:tr>
      <w:tr>
        <w:tc>
          <w:tcPr>
            <w:gridSpan w:val="5"/>
          </w:tcPr>
          <w:p>
            <w:pPr>
              <w:pStyle w:val="Compact"/>
              <w:jc w:val="right"/>
            </w:pPr>
            <w:r>
              <w:t xml:space="preserve">GRAND TOTAL (SAR)</w:t>
            </w:r>
          </w:p>
        </w:tc>
        <w:tc>
          <w:tcPr/>
          <w:p>
            <w:pPr>
              <w:pStyle w:val="Compact"/>
              <w:jc w:val="left"/>
            </w:pPr>
            <w:r>
              <w:t xml:space="preserve">3,800,750.00</w:t>
            </w:r>
          </w:p>
        </w:tc>
      </w:tr>
    </w:tbl>
    <w:bookmarkEnd w:id="24"/>
    <w:bookmarkStart w:id="25" w:name="delivery-and-performance-location"/>
    <w:p>
      <w:pPr>
        <w:pStyle w:val="Heading2"/>
      </w:pPr>
      <w:r>
        <w:t xml:space="preserve">3. Delivery and Performance Location</w:t>
      </w:r>
    </w:p>
    <w:p>
      <w:pPr>
        <w:pStyle w:val="FirstParagraph"/>
      </w:pPr>
      <w:r>
        <w:t xml:space="preserve">All goods, services, and deliverables under this Purchase Order shall be delivered, installed, and performed exclusively within the boundaries of</w:t>
      </w:r>
      <w:r>
        <w:t xml:space="preserve"> </w:t>
      </w:r>
      <w:r>
        <w:t xml:space="preserve">Riyadh</w:t>
      </w:r>
      <w:r>
        <w:t xml:space="preserve">,</w:t>
      </w:r>
      <w:r>
        <w:t xml:space="preserve"> </w:t>
      </w:r>
      <w:r>
        <w:t xml:space="preserve">Saudi Arabia</w:t>
      </w:r>
      <w:r>
        <w:t xml:space="preserve">. The primary delivery and operational site is located at King Fahd Road, Al Olaya District, Riyadh 12214. Any on-site work involving banker personnel, system installation, or training sessions shall be conducted at the Buyer's designated premises in Riyadh. The Supplier acknowledges that all operations are subject to the jurisdiction of the Kingdom of Saudi Arabia and must comply with all applicable local regulations, including but not limited to SAMA directives, the Saudi Labor Law, and the Saudi Commercial Transactions Law.</w:t>
      </w:r>
    </w:p>
    <w:bookmarkEnd w:id="25"/>
    <w:bookmarkStart w:id="26" w:name="payment-terms"/>
    <w:p>
      <w:pPr>
        <w:pStyle w:val="Heading2"/>
      </w:pPr>
      <w:r>
        <w:t xml:space="preserve">4. Payment Terms</w:t>
      </w:r>
    </w:p>
    <w:p>
      <w:pPr>
        <w:numPr>
          <w:ilvl w:val="0"/>
          <w:numId w:val="1001"/>
        </w:numPr>
        <w:pStyle w:val="Compact"/>
      </w:pPr>
      <w:r>
        <w:t xml:space="preserve">Payment shall be made in Saudi Riyals (SAR) via bank transfer to the Supplier's designated account in Riyadh, Saudi Arabia.</w:t>
      </w:r>
    </w:p>
    <w:p>
      <w:pPr>
        <w:numPr>
          <w:ilvl w:val="0"/>
          <w:numId w:val="1001"/>
        </w:numPr>
        <w:pStyle w:val="Compact"/>
      </w:pPr>
      <w:r>
        <w:t xml:space="preserve">30% advance payment upon acceptance of this Purchase Order: SAR 1,140,225.00</w:t>
      </w:r>
    </w:p>
    <w:p>
      <w:pPr>
        <w:numPr>
          <w:ilvl w:val="0"/>
          <w:numId w:val="1001"/>
        </w:numPr>
        <w:pStyle w:val="Compact"/>
      </w:pPr>
      <w:r>
        <w:t xml:space="preserve">40% upon completion of banker personnel deployment and system installation in Riyadh: SAR 1,520,300.00</w:t>
      </w:r>
    </w:p>
    <w:p>
      <w:pPr>
        <w:numPr>
          <w:ilvl w:val="0"/>
          <w:numId w:val="1001"/>
        </w:numPr>
        <w:pStyle w:val="Compact"/>
      </w:pPr>
      <w:r>
        <w:t xml:space="preserve">30% upon final acceptance and delivery of all remaining deliverables: SAR 1,140,225.00</w:t>
      </w:r>
    </w:p>
    <w:p>
      <w:pPr>
        <w:numPr>
          <w:ilvl w:val="0"/>
          <w:numId w:val="1001"/>
        </w:numPr>
        <w:pStyle w:val="Compact"/>
      </w:pPr>
      <w:r>
        <w:t xml:space="preserve">Payment terms: Net 30 days from the date of invoice issuance.</w:t>
      </w:r>
    </w:p>
    <w:p>
      <w:pPr>
        <w:numPr>
          <w:ilvl w:val="0"/>
          <w:numId w:val="1001"/>
        </w:numPr>
        <w:pStyle w:val="Compact"/>
      </w:pPr>
      <w:r>
        <w:t xml:space="preserve">All invoices must include the Supplier's VAT registration number and reference this Purchase Order number (SAR-RYD-2025-04782).</w:t>
      </w:r>
    </w:p>
    <w:bookmarkEnd w:id="26"/>
    <w:bookmarkStart w:id="27" w:name="terms-and-conditions"/>
    <w:p>
      <w:pPr>
        <w:pStyle w:val="Heading2"/>
      </w:pPr>
      <w:r>
        <w:t xml:space="preserve">5. Terms and Conditions</w:t>
      </w:r>
    </w:p>
    <w:p>
      <w:pPr>
        <w:numPr>
          <w:ilvl w:val="0"/>
          <w:numId w:val="1002"/>
        </w:numPr>
        <w:pStyle w:val="Compact"/>
      </w:pPr>
      <w:r>
        <w:t xml:space="preserve">This Purchase Order is governed by and shall be construed in accordance with the laws of the Kingdom of Saudi Arabia. Any disputes arising hereunder shall be resolved through the competent courts in Riyadh, Saudi Arabia, or through arbitration under the Saudi Center for Commercial Arbitration (SCCA) in Riyadh.</w:t>
      </w:r>
    </w:p>
    <w:p>
      <w:pPr>
        <w:numPr>
          <w:ilvl w:val="0"/>
          <w:numId w:val="1002"/>
        </w:numPr>
        <w:pStyle w:val="Compact"/>
      </w:pPr>
      <w:r>
        <w:t xml:space="preserve">The Supplier warrants that all banker professionals engaged under this Purchase Order hold valid professional certifications recognized by SAMA and possess the requisite experience in Saudi banking operations.</w:t>
      </w:r>
    </w:p>
    <w:p>
      <w:pPr>
        <w:numPr>
          <w:ilvl w:val="0"/>
          <w:numId w:val="1002"/>
        </w:numPr>
        <w:pStyle w:val="Compact"/>
      </w:pPr>
      <w:r>
        <w:t xml:space="preserve">The Supplier shall maintain full compliance with Saudi data protection regulations and the SAMA Information Security Framework for all banking data processed in Riyadh.</w:t>
      </w:r>
    </w:p>
    <w:p>
      <w:pPr>
        <w:numPr>
          <w:ilvl w:val="0"/>
          <w:numId w:val="1002"/>
        </w:numPr>
        <w:pStyle w:val="Compact"/>
      </w:pPr>
      <w:r>
        <w:t xml:space="preserve">Delivery timelines: All banker personnel shall be deployed within 30 calendar days of Purchase Order acceptance. System deployment shall be completed within 60 calendar days. Training program shall commence within 45 calendar days.</w:t>
      </w:r>
    </w:p>
    <w:p>
      <w:pPr>
        <w:numPr>
          <w:ilvl w:val="0"/>
          <w:numId w:val="1002"/>
        </w:numPr>
        <w:pStyle w:val="Compact"/>
      </w:pPr>
      <w:r>
        <w:t xml:space="preserve">The Buyer reserves the right to inspect and audit all deliverables, banker performance records, and system installations at any time during the contract period in Riyadh.</w:t>
      </w:r>
    </w:p>
    <w:p>
      <w:pPr>
        <w:numPr>
          <w:ilvl w:val="0"/>
          <w:numId w:val="1002"/>
        </w:numPr>
        <w:pStyle w:val="Compact"/>
      </w:pPr>
      <w:r>
        <w:t xml:space="preserve">Force majeure events, including but not limited to natural disasters affecting the Riyadh region, shall be addressed in accordance with Article 174 of the Saudi Civil Transactions Law.</w:t>
      </w:r>
    </w:p>
    <w:p>
      <w:pPr>
        <w:numPr>
          <w:ilvl w:val="0"/>
          <w:numId w:val="1002"/>
        </w:numPr>
        <w:pStyle w:val="Compact"/>
      </w:pPr>
      <w:r>
        <w:t xml:space="preserve">This Purchase Order shall remain valid for 90 days from the date of issue. Failure to accept within this period shall render this document null and void.</w:t>
      </w:r>
    </w:p>
    <w:p>
      <w:pPr>
        <w:numPr>
          <w:ilvl w:val="0"/>
          <w:numId w:val="1002"/>
        </w:numPr>
        <w:pStyle w:val="Compact"/>
      </w:pPr>
      <w:r>
        <w:t xml:space="preserve">Confidentiality: Both parties agree to maintain strict confidentiality regarding all banking information, client data, and commercial terms disclosed in connection with this Purchase Order in Riyadh, Saudi Arabia.</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procurement of Banker services and banking infrastructure in Riyadh, Saudi Arabia. This document constitutes a binding commercial agreement upon execution by both authorized representatives.</w:t>
      </w:r>
    </w:p>
    <w:bookmarkEnd w:id="28"/>
    <w:p>
      <w:pPr>
        <w:pStyle w:val="BodyText"/>
      </w:pPr>
      <w:r>
        <w:rPr>
          <w:bCs/>
          <w:b/>
        </w:rPr>
        <w:t xml:space="preserve">For and on behalf of the Buyer:</w:t>
      </w:r>
    </w:p>
    <w:p>
      <w:pPr>
        <w:pStyle w:val="BodyText"/>
      </w:pPr>
      <w:r>
        <w:t xml:space="preserve">Al-Riyadh Financial Services Group</w:t>
      </w:r>
    </w:p>
    <w:p>
      <w:pPr>
        <w:pStyle w:val="BodyText"/>
      </w:pPr>
      <w:r>
        <w:t xml:space="preserve">Name: Khalid Al-Mutairi</w:t>
      </w:r>
    </w:p>
    <w:p>
      <w:pPr>
        <w:pStyle w:val="BodyText"/>
      </w:pPr>
      <w:r>
        <w:t xml:space="preserve">Title: Procurement Director</w:t>
      </w:r>
    </w:p>
    <w:p>
      <w:pPr>
        <w:pStyle w:val="BodyText"/>
      </w:pPr>
      <w:r>
        <w:t xml:space="preserve">Date: _______________</w:t>
      </w:r>
    </w:p>
    <w:p>
      <w:pPr>
        <w:pStyle w:val="BodyText"/>
      </w:pPr>
      <w:r>
        <w:t xml:space="preserve">Signature &amp; Company Stamp:</w:t>
      </w:r>
    </w:p>
    <w:p>
      <w:pPr>
        <w:pStyle w:val="BodyText"/>
      </w:pPr>
      <w:r>
        <w:rPr>
          <w:bCs/>
          <w:b/>
        </w:rPr>
        <w:t xml:space="preserve">For and on behalf of the Supplier:</w:t>
      </w:r>
    </w:p>
    <w:p>
      <w:pPr>
        <w:pStyle w:val="BodyText"/>
      </w:pPr>
      <w:r>
        <w:t xml:space="preserve">Saudi Banker Solutions &amp; Consulting Ltd.</w:t>
      </w:r>
    </w:p>
    <w:p>
      <w:pPr>
        <w:pStyle w:val="BodyText"/>
      </w:pPr>
      <w:r>
        <w:t xml:space="preserve">Name: Noura Al-Harbi</w:t>
      </w:r>
    </w:p>
    <w:p>
      <w:pPr>
        <w:pStyle w:val="BodyText"/>
      </w:pPr>
      <w:r>
        <w:t xml:space="preserve">Title: Account Manager</w:t>
      </w:r>
    </w:p>
    <w:p>
      <w:pPr>
        <w:pStyle w:val="BodyText"/>
      </w:pPr>
      <w:r>
        <w:t xml:space="preserve">Date: _______________</w:t>
      </w:r>
    </w:p>
    <w:p>
      <w:pPr>
        <w:pStyle w:val="BodyText"/>
      </w:pPr>
      <w:r>
        <w:t xml:space="preserve">Signature &amp; Company Stamp:</w:t>
      </w:r>
    </w:p>
    <w:p>
      <w:pPr>
        <w:pStyle w:val="BodyText"/>
      </w:pPr>
      <w:r>
        <w:t xml:space="preserve">This Purchase Order (SAR-RYD-2025-04782) is issued for Banker services procurement in Riyadh, Saudi Arabia. Document reference: ALRFG-PO-2025-04782. This document is valid only when bearing the official stamps and signatures of both parties. For inquiries, contact the Procurement Department, Al-Riyadh Financial Services Group, Riyadh, Saudi Arabia.</w:t>
      </w:r>
    </w:p>
    <w:p>
      <w:pPr>
        <w:pStyle w:val="BodyText"/>
      </w:pPr>
      <w:r>
        <w:t xml:space="preserve">© 2025 Al-Riyadh Financial Services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Saudi Arabia Riyadh</dc:title>
  <dc:creator/>
  <dc:language>en</dc:language>
  <cp:keywords/>
  <dcterms:created xsi:type="dcterms:W3CDTF">2026-10-10T01:22:06Z</dcterms:created>
  <dcterms:modified xsi:type="dcterms:W3CDTF">2026-10-10T01:22:06Z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