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Banker</w:t>
      </w:r>
      <w:r>
        <w:t xml:space="preserve"> </w:t>
      </w:r>
      <w:r>
        <w:t xml:space="preserve">Equipment</w:t>
      </w:r>
      <w:r>
        <w:t xml:space="preserve"> </w:t>
      </w:r>
      <w:r>
        <w:t xml:space="preserve">&amp;</w:t>
      </w:r>
      <w:r>
        <w:t xml:space="preserve"> </w:t>
      </w:r>
      <w:r>
        <w:t xml:space="preserve">Services</w:t>
      </w:r>
      <w:r>
        <w:t xml:space="preserve"> </w:t>
      </w:r>
      <w:r>
        <w:t xml:space="preserve">-</w:t>
      </w:r>
      <w:r>
        <w:t xml:space="preserve"> </w:t>
      </w:r>
      <w:r>
        <w:t xml:space="preserve">Thailand</w:t>
      </w:r>
      <w:r>
        <w:t xml:space="preserve"> </w:t>
      </w:r>
      <w:r>
        <w:t xml:space="preserve">Bangkok</w:t>
      </w:r>
    </w:p>
    <w:p>
      <w:pPr>
        <w:pStyle w:val="FirstParagraph"/>
      </w:pPr>
      <w:r>
        <w:t xml:space="preserve">PO-THB-2025-04871</w:t>
      </w:r>
    </w:p>
    <w:p>
      <w:pPr>
        <w:pStyle w:val="BodyText"/>
      </w:pPr>
      <w:r>
        <w:t xml:space="preserve">Date of Issue: 15 June 2025</w:t>
      </w:r>
    </w:p>
    <w:bookmarkStart w:id="20" w:name="purchase-order"/>
    <w:p>
      <w:pPr>
        <w:pStyle w:val="Heading1"/>
      </w:pPr>
      <w:r>
        <w:t xml:space="preserve">PURCHASE ORDER</w:t>
      </w:r>
    </w:p>
    <w:p>
      <w:pPr>
        <w:pStyle w:val="FirstParagraph"/>
      </w:pPr>
      <w:r>
        <w:t xml:space="preserve">Banker Equipment, Systems &amp; Professional Services — Thailand Bangkok</w:t>
      </w:r>
    </w:p>
    <w:bookmarkEnd w:id="20"/>
    <w:bookmarkStart w:id="23" w:name="parties-to-this-purchase-order"/>
    <w:p>
      <w:pPr>
        <w:pStyle w:val="Heading2"/>
      </w:pPr>
      <w:r>
        <w:t xml:space="preserve">1. Parties to This Purchase Order</w:t>
      </w:r>
    </w:p>
    <w:bookmarkStart w:id="21" w:name="purchaser-buyer"/>
    <w:p>
      <w:pPr>
        <w:pStyle w:val="Heading3"/>
      </w:pPr>
      <w:r>
        <w:t xml:space="preserve">Purchaser (Buyer)</w:t>
      </w:r>
    </w:p>
    <w:p>
      <w:pPr>
        <w:pStyle w:val="FirstParagraph"/>
      </w:pPr>
      <w:r>
        <w:rPr>
          <w:bCs/>
          <w:b/>
        </w:rPr>
        <w:t xml:space="preserve">Chulalongkorn Financial Services Co., Ltd.</w:t>
      </w:r>
    </w:p>
    <w:p>
      <w:pPr>
        <w:pStyle w:val="BodyText"/>
      </w:pPr>
      <w:r>
        <w:t xml:space="preserve">128 Sukhumvit Road, Khlong Toei</w:t>
      </w:r>
    </w:p>
    <w:p>
      <w:pPr>
        <w:pStyle w:val="BodyText"/>
      </w:pPr>
      <w:r>
        <w:t xml:space="preserve">Bangkok 10110, Thailand</w:t>
      </w:r>
    </w:p>
    <w:p>
      <w:pPr>
        <w:pStyle w:val="BodyText"/>
      </w:pPr>
      <w:r>
        <w:t xml:space="preserve">Tax ID: 0105558723419</w:t>
      </w:r>
    </w:p>
    <w:p>
      <w:pPr>
        <w:pStyle w:val="BodyText"/>
      </w:pPr>
      <w:r>
        <w:t xml:space="preserve">Contact: Mr. Anan Srisuwan, Procurement Director</w:t>
      </w:r>
    </w:p>
    <w:p>
      <w:pPr>
        <w:pStyle w:val="BodyText"/>
      </w:pPr>
      <w:r>
        <w:t xml:space="preserve">Email: procurement@chulalongkorn-fin.co.th</w:t>
      </w:r>
    </w:p>
    <w:p>
      <w:pPr>
        <w:pStyle w:val="BodyText"/>
      </w:pPr>
      <w:r>
        <w:t xml:space="preserve">Phone: +66 2 255 4871</w:t>
      </w:r>
    </w:p>
    <w:bookmarkEnd w:id="21"/>
    <w:bookmarkStart w:id="22" w:name="supplier-seller"/>
    <w:p>
      <w:pPr>
        <w:pStyle w:val="Heading3"/>
      </w:pPr>
      <w:r>
        <w:t xml:space="preserve">Supplier (Seller)</w:t>
      </w:r>
    </w:p>
    <w:p>
      <w:pPr>
        <w:pStyle w:val="FirstParagraph"/>
      </w:pPr>
      <w:r>
        <w:rPr>
          <w:bCs/>
          <w:b/>
        </w:rPr>
        <w:t xml:space="preserve">Banker Global Solutions (Thailand) PCL</w:t>
      </w:r>
    </w:p>
    <w:p>
      <w:pPr>
        <w:pStyle w:val="BodyText"/>
      </w:pPr>
      <w:r>
        <w:t xml:space="preserve">45th Floor, Sathorn Square Tower 2</w:t>
      </w:r>
    </w:p>
    <w:p>
      <w:pPr>
        <w:pStyle w:val="BodyText"/>
      </w:pPr>
      <w:r>
        <w:t xml:space="preserve">979 Rama IV Road, Suriyawong</w:t>
      </w:r>
    </w:p>
    <w:p>
      <w:pPr>
        <w:pStyle w:val="BodyText"/>
      </w:pPr>
      <w:r>
        <w:t xml:space="preserve">Bangkok 10500, Thailand</w:t>
      </w:r>
    </w:p>
    <w:p>
      <w:pPr>
        <w:pStyle w:val="BodyText"/>
      </w:pPr>
      <w:r>
        <w:t xml:space="preserve">Tax ID: 0105561234567</w:t>
      </w:r>
    </w:p>
    <w:p>
      <w:pPr>
        <w:pStyle w:val="BodyText"/>
      </w:pPr>
      <w:r>
        <w:t xml:space="preserve">Contact: Ms. Pimchanok Wongsawat, Account Manager</w:t>
      </w:r>
    </w:p>
    <w:p>
      <w:pPr>
        <w:pStyle w:val="BodyText"/>
      </w:pPr>
      <w:r>
        <w:t xml:space="preserve">Email: sales@bankerglobal-th.com</w:t>
      </w:r>
    </w:p>
    <w:p>
      <w:pPr>
        <w:pStyle w:val="BodyText"/>
      </w:pPr>
      <w:r>
        <w:t xml:space="preserve">Phone: +66 2 678 3344</w:t>
      </w:r>
    </w:p>
    <w:bookmarkEnd w:id="22"/>
    <w:bookmarkEnd w:id="23"/>
    <w:bookmarkStart w:id="24" w:name="purchase-order-reference-scope"/>
    <w:p>
      <w:pPr>
        <w:pStyle w:val="Heading2"/>
      </w:pPr>
      <w:r>
        <w:t xml:space="preserve">2. Purchase Order Reference &amp; Scope</w:t>
      </w:r>
    </w:p>
    <w:p>
      <w:pPr>
        <w:pStyle w:val="FirstParagraph"/>
      </w:pPr>
      <w:r>
        <w:t xml:space="preserve">This</w:t>
      </w:r>
      <w:r>
        <w:t xml:space="preserve"> </w:t>
      </w:r>
      <w:r>
        <w:t xml:space="preserve">Purchase Order</w:t>
      </w:r>
      <w:r>
        <w:t xml:space="preserve"> </w:t>
      </w:r>
      <w:r>
        <w:t xml:space="preserve">(PO-THB-2025-04871) is issued by Chulalongkorn Financial Services Co., Ltd. to</w:t>
      </w:r>
      <w:r>
        <w:t xml:space="preserve"> </w:t>
      </w:r>
      <w:r>
        <w:t xml:space="preserve">Banker</w:t>
      </w:r>
      <w:r>
        <w:t xml:space="preserve"> </w:t>
      </w:r>
      <w:r>
        <w:t xml:space="preserve">Global Solutions (Thailand) PCL for the supply, installation, commissioning, and ongoing maintenance of</w:t>
      </w:r>
      <w:r>
        <w:t xml:space="preserve"> </w:t>
      </w:r>
      <w:r>
        <w:t xml:space="preserve">Banker</w:t>
      </w:r>
      <w:r>
        <w:t xml:space="preserve"> </w:t>
      </w:r>
      <w:r>
        <w:t xml:space="preserve">branded banking infrastructure, software platforms, and professional advisory services. All goods and services described herein shall be delivered, installed, and made operational at the purchaser’s primary branch facility located in</w:t>
      </w:r>
      <w:r>
        <w:t xml:space="preserve"> </w:t>
      </w:r>
      <w:r>
        <w:t xml:space="preserve">Thailand Bangkok</w:t>
      </w:r>
      <w:r>
        <w:t xml:space="preserve">, specifically at the address listed in Section 1. This</w:t>
      </w:r>
      <w:r>
        <w:t xml:space="preserve"> </w:t>
      </w:r>
      <w:r>
        <w:t xml:space="preserve">Purchase Order</w:t>
      </w:r>
      <w:r>
        <w:t xml:space="preserve"> </w:t>
      </w:r>
      <w:r>
        <w:t xml:space="preserve">constitutes a binding commercial agreement between the two parties upon countersignature and shall be governed by the laws of the Kingdom of Thailand.</w:t>
      </w:r>
    </w:p>
    <w:bookmarkEnd w:id="24"/>
    <w:bookmarkStart w:id="25" w:name="line-items-pricing"/>
    <w:p>
      <w:pPr>
        <w:pStyle w:val="Heading2"/>
      </w:pPr>
      <w:r>
        <w:t xml:space="preserve">3.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Banker Product / Service</w:t>
            </w:r>
          </w:p>
        </w:tc>
        <w:tc>
          <w:tcPr/>
          <w:p>
            <w:pPr>
              <w:pStyle w:val="Compact"/>
              <w:jc w:val="left"/>
            </w:pPr>
            <w:r>
              <w:t xml:space="preserve">Qty</w:t>
            </w:r>
          </w:p>
        </w:tc>
        <w:tc>
          <w:tcPr/>
          <w:p>
            <w:pPr>
              <w:pStyle w:val="Compact"/>
              <w:jc w:val="left"/>
            </w:pPr>
            <w:r>
              <w:t xml:space="preserve">Unit Price (THB)</w:t>
            </w:r>
          </w:p>
        </w:tc>
        <w:tc>
          <w:tcPr/>
          <w:p>
            <w:pPr>
              <w:pStyle w:val="Compact"/>
              <w:jc w:val="left"/>
            </w:pPr>
            <w:r>
              <w:t xml:space="preserve">Total (THB)</w:t>
            </w:r>
          </w:p>
        </w:tc>
        <w:tc>
          <w:tcPr/>
          <w:p>
            <w:pPr>
              <w:pStyle w:val="Compact"/>
              <w:jc w:val="left"/>
            </w:pPr>
            <w:r>
              <w:t xml:space="preserve">Delivery / Due Date</w:t>
            </w:r>
          </w:p>
        </w:tc>
      </w:tr>
      <w:tr>
        <w:tc>
          <w:tcPr/>
          <w:p>
            <w:pPr>
              <w:pStyle w:val="Compact"/>
              <w:jc w:val="left"/>
            </w:pPr>
            <w:r>
              <w:t xml:space="preserve">1</w:t>
            </w:r>
          </w:p>
        </w:tc>
        <w:tc>
          <w:tcPr/>
          <w:p>
            <w:pPr>
              <w:pStyle w:val="Compact"/>
              <w:jc w:val="left"/>
            </w:pPr>
            <w:r>
              <w:rPr>
                <w:bCs/>
                <w:b/>
              </w:rPr>
              <w:t xml:space="preserve">Banker</w:t>
            </w:r>
            <w:r>
              <w:t xml:space="preserve"> </w:t>
            </w:r>
            <w:r>
              <w:t xml:space="preserve">Core Banking Platform — Enterprise License (perpetual), including all modules for retail banking, corporate banking, treasury management, and regulatory reporting compliant with Bank of Thailand (BOT) regulations</w:t>
            </w:r>
          </w:p>
        </w:tc>
        <w:tc>
          <w:tcPr/>
          <w:p>
            <w:pPr>
              <w:pStyle w:val="Compact"/>
              <w:jc w:val="left"/>
            </w:pPr>
            <w:r>
              <w:t xml:space="preserve">1</w:t>
            </w:r>
          </w:p>
        </w:tc>
        <w:tc>
          <w:tcPr/>
          <w:p>
            <w:pPr>
              <w:pStyle w:val="Compact"/>
              <w:jc w:val="left"/>
            </w:pPr>
            <w:r>
              <w:t xml:space="preserve">4,850,000.00</w:t>
            </w:r>
          </w:p>
        </w:tc>
        <w:tc>
          <w:tcPr/>
          <w:p>
            <w:pPr>
              <w:pStyle w:val="Compact"/>
              <w:jc w:val="left"/>
            </w:pPr>
            <w:r>
              <w:t xml:space="preserve">4,850,000.00</w:t>
            </w:r>
          </w:p>
        </w:tc>
        <w:tc>
          <w:tcPr/>
          <w:p>
            <w:pPr>
              <w:pStyle w:val="Compact"/>
              <w:jc w:val="left"/>
            </w:pPr>
            <w:r>
              <w:t xml:space="preserve">30 July 2025</w:t>
            </w:r>
          </w:p>
        </w:tc>
      </w:tr>
      <w:tr>
        <w:tc>
          <w:tcPr/>
          <w:p>
            <w:pPr>
              <w:pStyle w:val="Compact"/>
              <w:jc w:val="left"/>
            </w:pPr>
            <w:r>
              <w:t xml:space="preserve">2</w:t>
            </w:r>
          </w:p>
        </w:tc>
        <w:tc>
          <w:tcPr/>
          <w:p>
            <w:pPr>
              <w:pStyle w:val="Compact"/>
              <w:jc w:val="left"/>
            </w:pPr>
            <w:r>
              <w:rPr>
                <w:bCs/>
                <w:b/>
              </w:rPr>
              <w:t xml:space="preserve">Banker</w:t>
            </w:r>
            <w:r>
              <w:t xml:space="preserve"> </w:t>
            </w:r>
            <w:r>
              <w:t xml:space="preserve">Secure Teller Terminal (Model BKT-900) — hardware unit with integrated biometric authentication, dual-screen display, and tamper-evident casing, pre-configured for</w:t>
            </w:r>
            <w:r>
              <w:t xml:space="preserve"> </w:t>
            </w:r>
            <w:r>
              <w:t xml:space="preserve">Thailand Bangkok</w:t>
            </w:r>
            <w:r>
              <w:t xml:space="preserve"> </w:t>
            </w:r>
            <w:r>
              <w:t xml:space="preserve">branch operations</w:t>
            </w:r>
          </w:p>
        </w:tc>
        <w:tc>
          <w:tcPr/>
          <w:p>
            <w:pPr>
              <w:pStyle w:val="Compact"/>
              <w:jc w:val="left"/>
            </w:pPr>
            <w:r>
              <w:t xml:space="preserve">12</w:t>
            </w:r>
          </w:p>
        </w:tc>
        <w:tc>
          <w:tcPr/>
          <w:p>
            <w:pPr>
              <w:pStyle w:val="Compact"/>
              <w:jc w:val="left"/>
            </w:pPr>
            <w:r>
              <w:t xml:space="preserve">185,000.00</w:t>
            </w:r>
          </w:p>
        </w:tc>
        <w:tc>
          <w:tcPr/>
          <w:p>
            <w:pPr>
              <w:pStyle w:val="Compact"/>
              <w:jc w:val="left"/>
            </w:pPr>
            <w:r>
              <w:t xml:space="preserve">2,220,000.00</w:t>
            </w:r>
          </w:p>
        </w:tc>
        <w:tc>
          <w:tcPr/>
          <w:p>
            <w:pPr>
              <w:pStyle w:val="Compact"/>
              <w:jc w:val="left"/>
            </w:pPr>
            <w:r>
              <w:t xml:space="preserve">15 August 2025</w:t>
            </w:r>
          </w:p>
        </w:tc>
      </w:tr>
      <w:tr>
        <w:tc>
          <w:tcPr/>
          <w:p>
            <w:pPr>
              <w:pStyle w:val="Compact"/>
              <w:jc w:val="left"/>
            </w:pPr>
            <w:r>
              <w:t xml:space="preserve">3</w:t>
            </w:r>
          </w:p>
        </w:tc>
        <w:tc>
          <w:tcPr/>
          <w:p>
            <w:pPr>
              <w:pStyle w:val="Compact"/>
              <w:jc w:val="left"/>
            </w:pPr>
            <w:r>
              <w:rPr>
                <w:bCs/>
                <w:b/>
              </w:rPr>
              <w:t xml:space="preserve">Banker</w:t>
            </w:r>
            <w:r>
              <w:t xml:space="preserve"> </w:t>
            </w:r>
            <w:r>
              <w:t xml:space="preserve">Automated Teller Machine (ATM) — Model BKA-5500, cash dispensing capacity 100,000 THB, with Thai-language interface, QR payment module (PromptPay compatible), and 24/7 remote monitoring capability</w:t>
            </w:r>
          </w:p>
        </w:tc>
        <w:tc>
          <w:tcPr/>
          <w:p>
            <w:pPr>
              <w:pStyle w:val="Compact"/>
              <w:jc w:val="left"/>
            </w:pPr>
            <w:r>
              <w:t xml:space="preserve">4</w:t>
            </w:r>
          </w:p>
        </w:tc>
        <w:tc>
          <w:tcPr/>
          <w:p>
            <w:pPr>
              <w:pStyle w:val="Compact"/>
              <w:jc w:val="left"/>
            </w:pPr>
            <w:r>
              <w:t xml:space="preserve">1,250,000.00</w:t>
            </w:r>
          </w:p>
        </w:tc>
        <w:tc>
          <w:tcPr/>
          <w:p>
            <w:pPr>
              <w:pStyle w:val="Compact"/>
              <w:jc w:val="left"/>
            </w:pPr>
            <w:r>
              <w:t xml:space="preserve">5,000,000.00</w:t>
            </w:r>
          </w:p>
        </w:tc>
        <w:tc>
          <w:tcPr/>
          <w:p>
            <w:pPr>
              <w:pStyle w:val="Compact"/>
              <w:jc w:val="left"/>
            </w:pPr>
            <w:r>
              <w:t xml:space="preserve">01 September 2025</w:t>
            </w:r>
          </w:p>
        </w:tc>
      </w:tr>
      <w:tr>
        <w:tc>
          <w:tcPr/>
          <w:p>
            <w:pPr>
              <w:pStyle w:val="Compact"/>
              <w:jc w:val="left"/>
            </w:pPr>
            <w:r>
              <w:t xml:space="preserve">4</w:t>
            </w:r>
          </w:p>
        </w:tc>
        <w:tc>
          <w:tcPr/>
          <w:p>
            <w:pPr>
              <w:pStyle w:val="Compact"/>
              <w:jc w:val="left"/>
            </w:pPr>
            <w:r>
              <w:rPr>
                <w:bCs/>
                <w:b/>
              </w:rPr>
              <w:t xml:space="preserve">Banker</w:t>
            </w:r>
            <w:r>
              <w:t xml:space="preserve"> </w:t>
            </w:r>
            <w:r>
              <w:t xml:space="preserve">Cybersecurity &amp; Fraud Detection Suite — annual subscription, including real-time transaction monitoring, AI-driven anomaly detection, and compliance with National Cybersecurity Agency (NCSA) Thailand standards</w:t>
            </w:r>
          </w:p>
        </w:tc>
        <w:tc>
          <w:tcPr/>
          <w:p>
            <w:pPr>
              <w:pStyle w:val="Compact"/>
              <w:jc w:val="left"/>
            </w:pPr>
            <w:r>
              <w:t xml:space="preserve">1</w:t>
            </w:r>
          </w:p>
        </w:tc>
        <w:tc>
          <w:tcPr/>
          <w:p>
            <w:pPr>
              <w:pStyle w:val="Compact"/>
              <w:jc w:val="left"/>
            </w:pPr>
            <w:r>
              <w:t xml:space="preserve">1,680,000.00</w:t>
            </w:r>
          </w:p>
        </w:tc>
        <w:tc>
          <w:tcPr/>
          <w:p>
            <w:pPr>
              <w:pStyle w:val="Compact"/>
              <w:jc w:val="left"/>
            </w:pPr>
            <w:r>
              <w:t xml:space="preserve">1,680,000.00</w:t>
            </w:r>
          </w:p>
        </w:tc>
        <w:tc>
          <w:tcPr/>
          <w:p>
            <w:pPr>
              <w:pStyle w:val="Compact"/>
              <w:jc w:val="left"/>
            </w:pPr>
            <w:r>
              <w:t xml:space="preserve">30 July 2025</w:t>
            </w:r>
          </w:p>
        </w:tc>
      </w:tr>
      <w:tr>
        <w:tc>
          <w:tcPr/>
          <w:p>
            <w:pPr>
              <w:pStyle w:val="Compact"/>
              <w:jc w:val="left"/>
            </w:pPr>
            <w:r>
              <w:t xml:space="preserve">5</w:t>
            </w:r>
          </w:p>
        </w:tc>
        <w:tc>
          <w:tcPr/>
          <w:p>
            <w:pPr>
              <w:pStyle w:val="Compact"/>
              <w:jc w:val="left"/>
            </w:pPr>
            <w:r>
              <w:rPr>
                <w:bCs/>
                <w:b/>
              </w:rPr>
              <w:t xml:space="preserve">Banker</w:t>
            </w:r>
            <w:r>
              <w:t xml:space="preserve"> </w:t>
            </w:r>
            <w:r>
              <w:t xml:space="preserve">Professional Advisory &amp; Training Services — on-site deployment of</w:t>
            </w:r>
            <w:r>
              <w:t xml:space="preserve"> </w:t>
            </w:r>
            <w:r>
              <w:t xml:space="preserve">Banker</w:t>
            </w:r>
            <w:r>
              <w:t xml:space="preserve"> </w:t>
            </w:r>
            <w:r>
              <w:t xml:space="preserve">certified engineers and trainers at the</w:t>
            </w:r>
            <w:r>
              <w:t xml:space="preserve"> </w:t>
            </w:r>
            <w:r>
              <w:t xml:space="preserve">Thailand Bangkok</w:t>
            </w:r>
            <w:r>
              <w:t xml:space="preserve"> </w:t>
            </w:r>
            <w:r>
              <w:t xml:space="preserve">branch for system installation, staff training (40 hours), and go-live support over a 30-day period</w:t>
            </w:r>
          </w:p>
        </w:tc>
        <w:tc>
          <w:tcPr/>
          <w:p>
            <w:pPr>
              <w:pStyle w:val="Compact"/>
              <w:jc w:val="left"/>
            </w:pPr>
            <w:r>
              <w:t xml:space="preserve">1</w:t>
            </w:r>
          </w:p>
        </w:tc>
        <w:tc>
          <w:tcPr/>
          <w:p>
            <w:pPr>
              <w:pStyle w:val="Compact"/>
              <w:jc w:val="left"/>
            </w:pPr>
            <w:r>
              <w:t xml:space="preserve">920,000.00</w:t>
            </w:r>
          </w:p>
        </w:tc>
        <w:tc>
          <w:tcPr/>
          <w:p>
            <w:pPr>
              <w:pStyle w:val="Compact"/>
              <w:jc w:val="left"/>
            </w:pPr>
            <w:r>
              <w:t xml:space="preserve">920,000.00</w:t>
            </w:r>
          </w:p>
        </w:tc>
        <w:tc>
          <w:tcPr/>
          <w:p>
            <w:pPr>
              <w:pStyle w:val="Compact"/>
              <w:jc w:val="left"/>
            </w:pPr>
            <w:r>
              <w:t xml:space="preserve">15 August – 15 September 2025</w:t>
            </w:r>
          </w:p>
        </w:tc>
      </w:tr>
      <w:tr>
        <w:tc>
          <w:tcPr/>
          <w:p>
            <w:pPr>
              <w:pStyle w:val="Compact"/>
              <w:jc w:val="left"/>
            </w:pPr>
            <w:r>
              <w:t xml:space="preserve">6</w:t>
            </w:r>
          </w:p>
        </w:tc>
        <w:tc>
          <w:tcPr/>
          <w:p>
            <w:pPr>
              <w:pStyle w:val="Compact"/>
              <w:jc w:val="left"/>
            </w:pPr>
            <w:r>
              <w:rPr>
                <w:bCs/>
                <w:b/>
              </w:rPr>
              <w:t xml:space="preserve">Banker</w:t>
            </w:r>
            <w:r>
              <w:t xml:space="preserve"> </w:t>
            </w:r>
            <w:r>
              <w:t xml:space="preserve">Preventive &amp; Corrective Maintenance Contract — 36-month term covering all hardware items listed above, with 4-hour response time for critical failures at the</w:t>
            </w:r>
            <w:r>
              <w:t xml:space="preserve"> </w:t>
            </w:r>
            <w:r>
              <w:t xml:space="preserve">Thailand Bangkok</w:t>
            </w:r>
            <w:r>
              <w:t xml:space="preserve"> </w:t>
            </w:r>
            <w:r>
              <w:t xml:space="preserve">site, quarterly on-site inspections, and firmware/software updates</w:t>
            </w:r>
          </w:p>
        </w:tc>
        <w:tc>
          <w:tcPr/>
          <w:p>
            <w:pPr>
              <w:pStyle w:val="Compact"/>
              <w:jc w:val="left"/>
            </w:pPr>
            <w:r>
              <w:t xml:space="preserve">1</w:t>
            </w:r>
          </w:p>
        </w:tc>
        <w:tc>
          <w:tcPr/>
          <w:p>
            <w:pPr>
              <w:pStyle w:val="Compact"/>
              <w:jc w:val="left"/>
            </w:pPr>
            <w:r>
              <w:t xml:space="preserve">1,340,000.00</w:t>
            </w:r>
          </w:p>
        </w:tc>
        <w:tc>
          <w:tcPr/>
          <w:p>
            <w:pPr>
              <w:pStyle w:val="Compact"/>
              <w:jc w:val="left"/>
            </w:pPr>
            <w:r>
              <w:t xml:space="preserve">1,340,000.00</w:t>
            </w:r>
          </w:p>
        </w:tc>
        <w:tc>
          <w:tcPr/>
          <w:p>
            <w:pPr>
              <w:pStyle w:val="Compact"/>
              <w:jc w:val="left"/>
            </w:pPr>
            <w:r>
              <w:t xml:space="preserve">Commencing 01 September 2025</w:t>
            </w:r>
          </w:p>
        </w:tc>
      </w:tr>
      <w:tr>
        <w:tc>
          <w:tcPr>
            <w:gridSpan w:val="4"/>
          </w:tcPr>
          <w:p>
            <w:pPr>
              <w:pStyle w:val="Compact"/>
              <w:jc w:val="right"/>
            </w:pPr>
            <w:r>
              <w:t xml:space="preserve">Subtotal (THB)</w:t>
            </w:r>
          </w:p>
        </w:tc>
        <w:tc>
          <w:tcPr/>
          <w:p>
            <w:pPr>
              <w:pStyle w:val="Compact"/>
              <w:jc w:val="left"/>
            </w:pPr>
            <w:r>
              <w:t xml:space="preserve">16,010,000.00</w:t>
            </w:r>
          </w:p>
        </w:tc>
        <w:tc>
          <w:tcPr/>
          <w:p>
            <w:pPr>
              <w:pStyle w:val="Compact"/>
            </w:pPr>
          </w:p>
        </w:tc>
      </w:tr>
      <w:tr>
        <w:tc>
          <w:tcPr>
            <w:gridSpan w:val="4"/>
          </w:tcPr>
          <w:p>
            <w:pPr>
              <w:pStyle w:val="Compact"/>
              <w:jc w:val="right"/>
            </w:pPr>
            <w:r>
              <w:t xml:space="preserve">VAT @ 7% (Thailand Revenue Code)</w:t>
            </w:r>
          </w:p>
        </w:tc>
        <w:tc>
          <w:tcPr/>
          <w:p>
            <w:pPr>
              <w:pStyle w:val="Compact"/>
              <w:jc w:val="left"/>
            </w:pPr>
            <w:r>
              <w:t xml:space="preserve">1,120,700.00</w:t>
            </w:r>
          </w:p>
        </w:tc>
        <w:tc>
          <w:tcPr/>
          <w:p>
            <w:pPr>
              <w:pStyle w:val="Compact"/>
            </w:pPr>
          </w:p>
        </w:tc>
      </w:tr>
      <w:tr>
        <w:tc>
          <w:tcPr>
            <w:gridSpan w:val="4"/>
          </w:tcPr>
          <w:p>
            <w:pPr>
              <w:pStyle w:val="Compact"/>
              <w:jc w:val="right"/>
            </w:pPr>
            <w:r>
              <w:t xml:space="preserve">Grand Total (THB)</w:t>
            </w:r>
          </w:p>
        </w:tc>
        <w:tc>
          <w:tcPr/>
          <w:p>
            <w:pPr>
              <w:pStyle w:val="Compact"/>
              <w:jc w:val="left"/>
            </w:pPr>
            <w:r>
              <w:t xml:space="preserve">17,130,700.00</w:t>
            </w:r>
          </w:p>
        </w:tc>
        <w:tc>
          <w:tcPr/>
          <w:p>
            <w:pPr>
              <w:pStyle w:val="Compact"/>
            </w:pPr>
          </w:p>
        </w:tc>
      </w:tr>
    </w:tbl>
    <w:p>
      <w:pPr>
        <w:pStyle w:val="BodyText"/>
      </w:pPr>
      <w:r>
        <w:t xml:space="preserve">All prices are quoted in Thai Baht (THB) and are inclusive of delivery to the</w:t>
      </w:r>
      <w:r>
        <w:t xml:space="preserve"> </w:t>
      </w:r>
      <w:r>
        <w:t xml:space="preserve">Thailand Bangkok</w:t>
      </w:r>
      <w:r>
        <w:t xml:space="preserve"> </w:t>
      </w:r>
      <w:r>
        <w:t xml:space="preserve">site. VAT is calculated in accordance with the Thai Revenue Code. No additional customs duties are applicable as all</w:t>
      </w:r>
      <w:r>
        <w:t xml:space="preserve"> </w:t>
      </w:r>
      <w:r>
        <w:t xml:space="preserve">Banker</w:t>
      </w:r>
      <w:r>
        <w:t xml:space="preserve"> </w:t>
      </w:r>
      <w:r>
        <w:t xml:space="preserve">equipment is sourced from the supplier’s local warehouse in Bangkok.</w:t>
      </w:r>
    </w:p>
    <w:bookmarkEnd w:id="25"/>
    <w:bookmarkStart w:id="26" w:name="delivery-installation-terms"/>
    <w:p>
      <w:pPr>
        <w:pStyle w:val="Heading2"/>
      </w:pPr>
      <w:r>
        <w:t xml:space="preserve">4. Delivery &amp; Installation Terms</w:t>
      </w:r>
    </w:p>
    <w:p>
      <w:pPr>
        <w:numPr>
          <w:ilvl w:val="0"/>
          <w:numId w:val="1001"/>
        </w:numPr>
        <w:pStyle w:val="Compact"/>
      </w:pPr>
      <w:r>
        <w:t xml:space="preserve">All</w:t>
      </w:r>
      <w:r>
        <w:t xml:space="preserve"> </w:t>
      </w:r>
      <w:r>
        <w:t xml:space="preserve">Banker</w:t>
      </w:r>
      <w:r>
        <w:t xml:space="preserve"> </w:t>
      </w:r>
      <w:r>
        <w:t xml:space="preserve">hardware shall be delivered to the purchaser’s premises at 128 Sukhumvit Road, Khlong Toei,</w:t>
      </w:r>
      <w:r>
        <w:t xml:space="preserve"> </w:t>
      </w:r>
      <w:r>
        <w:t xml:space="preserve">Thailand Bangkok</w:t>
      </w:r>
      <w:r>
        <w:t xml:space="preserve"> </w:t>
      </w:r>
      <w:r>
        <w:t xml:space="preserve">10110. Delivery shall be made between 08:00 and 17:00 on business days (Monday to Friday), excluding Thai public holidays.</w:t>
      </w:r>
    </w:p>
    <w:p>
      <w:pPr>
        <w:numPr>
          <w:ilvl w:val="0"/>
          <w:numId w:val="1001"/>
        </w:numPr>
        <w:pStyle w:val="Compact"/>
      </w:pPr>
      <w:r>
        <w:t xml:space="preserve">The supplier,</w:t>
      </w:r>
      <w:r>
        <w:t xml:space="preserve"> </w:t>
      </w:r>
      <w:r>
        <w:t xml:space="preserve">Banker</w:t>
      </w:r>
      <w:r>
        <w:t xml:space="preserve"> </w:t>
      </w:r>
      <w:r>
        <w:t xml:space="preserve">Global Solutions (Thailand) PCL, shall bear all costs associated with transportation, insurance, and unloading of goods within the</w:t>
      </w:r>
      <w:r>
        <w:t xml:space="preserve"> </w:t>
      </w:r>
      <w:r>
        <w:t xml:space="preserve">Thailand Bangkok</w:t>
      </w:r>
      <w:r>
        <w:t xml:space="preserve"> </w:t>
      </w:r>
      <w:r>
        <w:t xml:space="preserve">metropolitan area.</w:t>
      </w:r>
    </w:p>
    <w:p>
      <w:pPr>
        <w:numPr>
          <w:ilvl w:val="0"/>
          <w:numId w:val="1001"/>
        </w:numPr>
        <w:pStyle w:val="Compact"/>
      </w:pPr>
      <w:r>
        <w:t xml:space="preserve">Installation and commissioning of all</w:t>
      </w:r>
      <w:r>
        <w:t xml:space="preserve"> </w:t>
      </w:r>
      <w:r>
        <w:t xml:space="preserve">Banker</w:t>
      </w:r>
      <w:r>
        <w:t xml:space="preserve"> </w:t>
      </w:r>
      <w:r>
        <w:t xml:space="preserve">systems shall be completed no later than 15 September 2025. The purchaser shall provide access to the branch facility, electrical infrastructure, and network connectivity as reasonably required.</w:t>
      </w:r>
    </w:p>
    <w:p>
      <w:pPr>
        <w:numPr>
          <w:ilvl w:val="0"/>
          <w:numId w:val="1001"/>
        </w:numPr>
        <w:pStyle w:val="Compact"/>
      </w:pPr>
      <w:r>
        <w:t xml:space="preserve">A formal Acceptance Certificate shall be signed by both parties upon successful completion of all installation, testing, and training activities. This</w:t>
      </w:r>
      <w:r>
        <w:t xml:space="preserve"> </w:t>
      </w:r>
      <w:r>
        <w:t xml:space="preserve">Purchase Order</w:t>
      </w:r>
      <w:r>
        <w:t xml:space="preserve"> </w:t>
      </w:r>
      <w:r>
        <w:t xml:space="preserve">shall be deemed fully executed upon such acceptance.</w:t>
      </w:r>
    </w:p>
    <w:bookmarkEnd w:id="26"/>
    <w:bookmarkStart w:id="27" w:name="payment-terms"/>
    <w:p>
      <w:pPr>
        <w:pStyle w:val="Heading2"/>
      </w:pPr>
      <w:r>
        <w:t xml:space="preserve">5. Payment Terms</w:t>
      </w:r>
    </w:p>
    <w:p>
      <w:pPr>
        <w:numPr>
          <w:ilvl w:val="0"/>
          <w:numId w:val="1002"/>
        </w:numPr>
        <w:pStyle w:val="Compact"/>
      </w:pPr>
      <w:r>
        <w:rPr>
          <w:bCs/>
          <w:b/>
        </w:rPr>
        <w:t xml:space="preserve">30% Advance Payment:</w:t>
      </w:r>
      <w:r>
        <w:t xml:space="preserve"> </w:t>
      </w:r>
      <w:r>
        <w:t xml:space="preserve">THB 5,139,210.00 (including VAT) due within 14 calendar days of the date of this</w:t>
      </w:r>
      <w:r>
        <w:t xml:space="preserve"> </w:t>
      </w:r>
      <w:r>
        <w:t xml:space="preserve">Purchase Order</w:t>
      </w:r>
      <w:r>
        <w:t xml:space="preserve">, payable by bank transfer to the supplier’s designated account at Kasikornbank PCL, Bangkok branch.</w:t>
      </w:r>
    </w:p>
    <w:p>
      <w:pPr>
        <w:numPr>
          <w:ilvl w:val="0"/>
          <w:numId w:val="1002"/>
        </w:numPr>
        <w:pStyle w:val="Compact"/>
      </w:pPr>
      <w:r>
        <w:rPr>
          <w:bCs/>
          <w:b/>
        </w:rPr>
        <w:t xml:space="preserve">50% on Delivery &amp; Installation:</w:t>
      </w:r>
      <w:r>
        <w:t xml:space="preserve"> </w:t>
      </w:r>
      <w:r>
        <w:t xml:space="preserve">THB 8,565,350.00 (including VAT) due within 21 calendar days of the signing of the Acceptance Certificate for all</w:t>
      </w:r>
      <w:r>
        <w:t xml:space="preserve"> </w:t>
      </w:r>
      <w:r>
        <w:t xml:space="preserve">Banker</w:t>
      </w:r>
      <w:r>
        <w:t xml:space="preserve"> </w:t>
      </w:r>
      <w:r>
        <w:t xml:space="preserve">hardware and software items.</w:t>
      </w:r>
    </w:p>
    <w:p>
      <w:pPr>
        <w:numPr>
          <w:ilvl w:val="0"/>
          <w:numId w:val="1002"/>
        </w:numPr>
        <w:pStyle w:val="Compact"/>
      </w:pPr>
      <w:r>
        <w:rPr>
          <w:bCs/>
          <w:b/>
        </w:rPr>
        <w:t xml:space="preserve">20% Retention:</w:t>
      </w:r>
      <w:r>
        <w:t xml:space="preserve"> </w:t>
      </w:r>
      <w:r>
        <w:t xml:space="preserve">THB 3,426,140.00 (including VAT) due within 90 days of the Acceptance Certificate, subject to satisfactory completion of the initial 30-day go-live support period.</w:t>
      </w:r>
    </w:p>
    <w:p>
      <w:pPr>
        <w:numPr>
          <w:ilvl w:val="0"/>
          <w:numId w:val="1002"/>
        </w:numPr>
        <w:pStyle w:val="Compact"/>
      </w:pPr>
      <w:r>
        <w:t xml:space="preserve">All payments shall be made in Thai Baht (THB) via interbank transfer. Late payments shall accrue interest at the rate of 1.5% per month, in accordance with Thai commercial law.</w:t>
      </w:r>
    </w:p>
    <w:bookmarkEnd w:id="27"/>
    <w:bookmarkStart w:id="28" w:name="warranties-compliance-governing-law"/>
    <w:p>
      <w:pPr>
        <w:pStyle w:val="Heading2"/>
      </w:pPr>
      <w:r>
        <w:t xml:space="preserve">6. Warranties, Compliance &amp; Governing Law</w:t>
      </w:r>
    </w:p>
    <w:p>
      <w:pPr>
        <w:numPr>
          <w:ilvl w:val="0"/>
          <w:numId w:val="1003"/>
        </w:numPr>
        <w:pStyle w:val="Compact"/>
      </w:pPr>
      <w:r>
        <w:t xml:space="preserve">All</w:t>
      </w:r>
      <w:r>
        <w:t xml:space="preserve"> </w:t>
      </w:r>
      <w:r>
        <w:t xml:space="preserve">Banker</w:t>
      </w:r>
      <w:r>
        <w:t xml:space="preserve"> </w:t>
      </w:r>
      <w:r>
        <w:t xml:space="preserve">hardware products carry a minimum 36-month manufacturer’s warranty from the date of the Acceptance Certificate. Software licenses are warranted to be free from material defects for the duration of the subscription term.</w:t>
      </w:r>
    </w:p>
    <w:p>
      <w:pPr>
        <w:numPr>
          <w:ilvl w:val="0"/>
          <w:numId w:val="1003"/>
        </w:numPr>
        <w:pStyle w:val="Compact"/>
      </w:pPr>
      <w:r>
        <w:t xml:space="preserve">All</w:t>
      </w:r>
      <w:r>
        <w:t xml:space="preserve"> </w:t>
      </w:r>
      <w:r>
        <w:t xml:space="preserve">Banker</w:t>
      </w:r>
      <w:r>
        <w:t xml:space="preserve"> </w:t>
      </w:r>
      <w:r>
        <w:t xml:space="preserve">systems and services shall comply with the regulations of the Bank of Thailand (BOT), the Office of National Anti-Corruption Commission (NACC), and the Personal Data Protection Act (PDPA) B.E. 2562 (2019) of Thailand.</w:t>
      </w:r>
    </w:p>
    <w:p>
      <w:pPr>
        <w:numPr>
          <w:ilvl w:val="0"/>
          <w:numId w:val="1003"/>
        </w:numPr>
        <w:pStyle w:val="Compact"/>
      </w:pPr>
      <w:r>
        <w:t xml:space="preserve">This</w:t>
      </w:r>
      <w:r>
        <w:t xml:space="preserve"> </w:t>
      </w:r>
      <w:r>
        <w:t xml:space="preserve">Purchase Order</w:t>
      </w:r>
      <w:r>
        <w:t xml:space="preserve"> </w:t>
      </w:r>
      <w:r>
        <w:t xml:space="preserve">and any disputes arising therefrom shall be governed by and construed in accordance with the laws of the Kingdom of Thailand. Any disputes shall be resolved through arbitration under the rules of the Thai Arbitration Institute, with the seat of arbitration in</w:t>
      </w:r>
      <w:r>
        <w:t xml:space="preserve"> </w:t>
      </w:r>
      <w:r>
        <w:t xml:space="preserve">Thailand Bangkok</w:t>
      </w:r>
      <w:r>
        <w:t xml:space="preserve">.</w:t>
      </w:r>
    </w:p>
    <w:p>
      <w:pPr>
        <w:numPr>
          <w:ilvl w:val="0"/>
          <w:numId w:val="1003"/>
        </w:numPr>
        <w:pStyle w:val="Compact"/>
      </w:pPr>
      <w:r>
        <w:t xml:space="preserve">The supplier warrants that all</w:t>
      </w:r>
      <w:r>
        <w:t xml:space="preserve"> </w:t>
      </w:r>
      <w:r>
        <w:t xml:space="preserve">Banker</w:t>
      </w:r>
      <w:r>
        <w:t xml:space="preserve"> </w:t>
      </w:r>
      <w:r>
        <w:t xml:space="preserve">products are new, unused, and free from any encumbrance, lien, or third-party claim.</w:t>
      </w:r>
    </w:p>
    <w:bookmarkEnd w:id="28"/>
    <w:bookmarkStart w:id="29" w:name="force-majeure-termination"/>
    <w:p>
      <w:pPr>
        <w:pStyle w:val="Heading2"/>
      </w:pPr>
      <w:r>
        <w:t xml:space="preserve">7. Force Majeure &amp; Termination</w:t>
      </w:r>
    </w:p>
    <w:p>
      <w:pPr>
        <w:pStyle w:val="FirstParagraph"/>
      </w:pPr>
      <w:r>
        <w:t xml:space="preserve">Neither party shall be liable for failure to perform obligations under this</w:t>
      </w:r>
      <w:r>
        <w:t xml:space="preserve"> </w:t>
      </w:r>
      <w:r>
        <w:t xml:space="preserve">Purchase Order</w:t>
      </w:r>
      <w:r>
        <w:t xml:space="preserve"> </w:t>
      </w:r>
      <w:r>
        <w:t xml:space="preserve">if such failure results from events beyond reasonable control, including but not limited to natural disasters, government sanctions, or civil unrest affecting the</w:t>
      </w:r>
      <w:r>
        <w:t xml:space="preserve"> </w:t>
      </w:r>
      <w:r>
        <w:t xml:space="preserve">Thailand Bangkok</w:t>
      </w:r>
      <w:r>
        <w:t xml:space="preserve"> </w:t>
      </w:r>
      <w:r>
        <w:t xml:space="preserve">region. Either party may terminate this</w:t>
      </w:r>
      <w:r>
        <w:t xml:space="preserve"> </w:t>
      </w:r>
      <w:r>
        <w:t xml:space="preserve">Purchase Order</w:t>
      </w:r>
      <w:r>
        <w:t xml:space="preserve"> </w:t>
      </w:r>
      <w:r>
        <w:t xml:space="preserve">upon 60 days’ written notice if the other party commits a material breach and fails to cure such breach within 30 days of receiving written notice.</w:t>
      </w:r>
    </w:p>
    <w:bookmarkEnd w:id="29"/>
    <w:p>
      <w:pPr>
        <w:pStyle w:val="BodyText"/>
      </w:pPr>
      <w:r>
        <w:rPr>
          <w:bCs/>
          <w:b/>
        </w:rPr>
        <w:t xml:space="preserve">For and on behalf of the Purchaser</w:t>
      </w:r>
      <w:r>
        <w:br/>
      </w:r>
      <w:r>
        <w:t xml:space="preserve">Chulalongkorn Financial Services Co., Ltd.</w:t>
      </w:r>
      <w:r>
        <w:br/>
      </w:r>
      <w:r>
        <w:t xml:space="preserve">Name: Mr. Anan Srisuwan</w:t>
      </w:r>
      <w:r>
        <w:br/>
      </w:r>
      <w:r>
        <w:t xml:space="preserve">Title: Procurement Director</w:t>
      </w:r>
      <w:r>
        <w:br/>
      </w:r>
      <w:r>
        <w:t xml:space="preserve">Date: _______________</w:t>
      </w:r>
    </w:p>
    <w:p>
      <w:pPr>
        <w:pStyle w:val="BodyText"/>
      </w:pPr>
      <w:r>
        <w:rPr>
          <w:bCs/>
          <w:b/>
        </w:rPr>
        <w:t xml:space="preserve">For and on behalf of the Supplier</w:t>
      </w:r>
      <w:r>
        <w:br/>
      </w:r>
      <w:r>
        <w:t xml:space="preserve">Banker</w:t>
      </w:r>
      <w:r>
        <w:t xml:space="preserve"> </w:t>
      </w:r>
      <w:r>
        <w:t xml:space="preserve">Global Solutions (Thailand) PCL</w:t>
      </w:r>
      <w:r>
        <w:br/>
      </w:r>
      <w:r>
        <w:t xml:space="preserve">Name: Ms. Pimchanok Wongsawat</w:t>
      </w:r>
      <w:r>
        <w:br/>
      </w:r>
      <w:r>
        <w:t xml:space="preserve">Title: Account Manager</w:t>
      </w:r>
      <w:r>
        <w:br/>
      </w:r>
      <w:r>
        <w:t xml:space="preserve">Date: _______________</w:t>
      </w:r>
    </w:p>
    <w:p>
      <w:pPr>
        <w:pStyle w:val="BodyText"/>
      </w:pPr>
      <w:r>
        <w:t xml:space="preserve">This</w:t>
      </w:r>
      <w:r>
        <w:t xml:space="preserve"> </w:t>
      </w:r>
      <w:r>
        <w:t xml:space="preserve">Purchase Order</w:t>
      </w:r>
      <w:r>
        <w:t xml:space="preserve"> </w:t>
      </w:r>
      <w:r>
        <w:t xml:space="preserve">(PO-THB-2025-04871) is issued in duplicate, one copy for each party. This document pertains exclusively to</w:t>
      </w:r>
      <w:r>
        <w:t xml:space="preserve"> </w:t>
      </w:r>
      <w:r>
        <w:t xml:space="preserve">Banker</w:t>
      </w:r>
      <w:r>
        <w:t xml:space="preserve"> </w:t>
      </w:r>
      <w:r>
        <w:t xml:space="preserve">branded products and services for deployment in</w:t>
      </w:r>
      <w:r>
        <w:t xml:space="preserve"> </w:t>
      </w:r>
      <w:r>
        <w:t xml:space="preserve">Thailand Bangkok</w:t>
      </w:r>
      <w:r>
        <w:t xml:space="preserve">. Unauthorized reproduction or distribution of this</w:t>
      </w:r>
      <w:r>
        <w:t xml:space="preserve"> </w:t>
      </w:r>
      <w:r>
        <w:t xml:space="preserve">Purchase Order</w:t>
      </w:r>
      <w:r>
        <w:t xml:space="preserve"> </w:t>
      </w:r>
      <w:r>
        <w:t xml:space="preserve">is prohibited. © 2025 Chulalongkorn Financial Services Co.,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Banker Equipment &amp; Services - Thailand Bangkok</dc:title>
  <dc:creator/>
  <dc:language>en</dc:language>
  <cp:keywords/>
  <dcterms:created xsi:type="dcterms:W3CDTF">2026-10-10T03:15:50Z</dcterms:created>
  <dcterms:modified xsi:type="dcterms:W3CDTF">2026-10-10T03:15:50Z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