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Banker Services &amp; Banking Infrastructure Procurement</w:t>
      </w:r>
    </w:p>
    <w:p>
      <w:pPr>
        <w:pStyle w:val="BodyText"/>
      </w:pPr>
      <w:r>
        <w:t xml:space="preserve">United Arab Emirates — Abu Dhabi</w:t>
      </w:r>
    </w:p>
    <w:bookmarkEnd w:id="20"/>
    <w:p>
      <w:pPr>
        <w:pStyle w:val="BodyText"/>
      </w:pPr>
      <w:r>
        <w:t xml:space="preserve">PO No.: AD-2025-PO-004872</w:t>
      </w:r>
      <w:r>
        <w:br/>
      </w:r>
      <w:r>
        <w:t xml:space="preserve">Date of Issue: 15 June 2025</w:t>
      </w:r>
      <w:r>
        <w:br/>
      </w:r>
      <w:r>
        <w:t xml:space="preserve">Valid Until: 15 July 2025</w:t>
      </w:r>
    </w:p>
    <w:bookmarkStart w:id="21"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 Noor Financial Services LLC</w:t>
            </w:r>
          </w:p>
        </w:tc>
      </w:tr>
      <w:tr>
        <w:tc>
          <w:tcPr/>
          <w:p>
            <w:pPr>
              <w:pStyle w:val="Compact"/>
              <w:jc w:val="left"/>
            </w:pPr>
            <w:r>
              <w:t xml:space="preserve">Address</w:t>
            </w:r>
          </w:p>
        </w:tc>
        <w:tc>
          <w:tcPr/>
          <w:p>
            <w:pPr>
              <w:pStyle w:val="Compact"/>
              <w:jc w:val="left"/>
            </w:pPr>
            <w:r>
              <w:t xml:space="preserve">Tower 1, Al Maryah Island, P.O. Box 12345, Abu Dhabi, United Arab Emirates</w:t>
            </w:r>
          </w:p>
        </w:tc>
      </w:tr>
      <w:tr>
        <w:tc>
          <w:tcPr/>
          <w:p>
            <w:pPr>
              <w:pStyle w:val="Compact"/>
              <w:jc w:val="left"/>
            </w:pPr>
            <w:r>
              <w:t xml:space="preserve">Trade License No.</w:t>
            </w:r>
          </w:p>
        </w:tc>
        <w:tc>
          <w:tcPr/>
          <w:p>
            <w:pPr>
              <w:pStyle w:val="Compact"/>
              <w:jc w:val="left"/>
            </w:pPr>
            <w:r>
              <w:t xml:space="preserve">AD-TC-2019-78456</w:t>
            </w:r>
          </w:p>
        </w:tc>
      </w:tr>
      <w:tr>
        <w:tc>
          <w:tcPr/>
          <w:p>
            <w:pPr>
              <w:pStyle w:val="Compact"/>
              <w:jc w:val="left"/>
            </w:pPr>
            <w:r>
              <w:t xml:space="preserve">TRN (Tax Registration Number)</w:t>
            </w:r>
          </w:p>
        </w:tc>
        <w:tc>
          <w:tcPr/>
          <w:p>
            <w:pPr>
              <w:pStyle w:val="Compact"/>
              <w:jc w:val="left"/>
            </w:pPr>
            <w:r>
              <w:t xml:space="preserve">100456789000003</w:t>
            </w:r>
          </w:p>
        </w:tc>
      </w:tr>
      <w:tr>
        <w:tc>
          <w:tcPr/>
          <w:p>
            <w:pPr>
              <w:pStyle w:val="Compact"/>
              <w:jc w:val="left"/>
            </w:pPr>
            <w:r>
              <w:t xml:space="preserve">Contact Person</w:t>
            </w:r>
          </w:p>
        </w:tc>
        <w:tc>
          <w:tcPr/>
          <w:p>
            <w:pPr>
              <w:pStyle w:val="Compact"/>
              <w:jc w:val="left"/>
            </w:pPr>
            <w:r>
              <w:t xml:space="preserve">Mr. Khalid Al Mansoori, Chief Procurement Officer</w:t>
            </w:r>
          </w:p>
        </w:tc>
      </w:tr>
      <w:tr>
        <w:tc>
          <w:tcPr/>
          <w:p>
            <w:pPr>
              <w:pStyle w:val="Compact"/>
              <w:jc w:val="left"/>
            </w:pPr>
            <w:r>
              <w:t xml:space="preserve">Email / Phone</w:t>
            </w:r>
          </w:p>
        </w:tc>
        <w:tc>
          <w:tcPr/>
          <w:p>
            <w:pPr>
              <w:pStyle w:val="Compact"/>
              <w:jc w:val="left"/>
            </w:pPr>
            <w:r>
              <w:t xml:space="preserve">procurement@alnoorfs.ae / +971 2 445 6789</w:t>
            </w:r>
          </w:p>
        </w:tc>
      </w:tr>
    </w:tbl>
    <w:bookmarkEnd w:id="21"/>
    <w:bookmarkStart w:id="22" w:name="supplier-vendor-seller-banker-entity"/>
    <w:p>
      <w:pPr>
        <w:pStyle w:val="Heading2"/>
      </w:pPr>
      <w:r>
        <w:t xml:space="preserve">2. Supplier / Vendor (Seller) — Banker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Emirates National Banker Solutions PJSC</w:t>
            </w:r>
          </w:p>
        </w:tc>
      </w:tr>
      <w:tr>
        <w:tc>
          <w:tcPr/>
          <w:p>
            <w:pPr>
              <w:pStyle w:val="Compact"/>
              <w:jc w:val="left"/>
            </w:pPr>
            <w:r>
              <w:t xml:space="preserve">Address</w:t>
            </w:r>
          </w:p>
        </w:tc>
        <w:tc>
          <w:tcPr/>
          <w:p>
            <w:pPr>
              <w:pStyle w:val="Compact"/>
              <w:jc w:val="left"/>
            </w:pPr>
            <w:r>
              <w:t xml:space="preserve">Banker House, Corniche Road, P.O. Box 67890, Abu Dhabi, United Arab Emirates</w:t>
            </w:r>
          </w:p>
        </w:tc>
      </w:tr>
      <w:tr>
        <w:tc>
          <w:tcPr/>
          <w:p>
            <w:pPr>
              <w:pStyle w:val="Compact"/>
              <w:jc w:val="left"/>
            </w:pPr>
            <w:r>
              <w:t xml:space="preserve">Trade License No.</w:t>
            </w:r>
          </w:p>
        </w:tc>
        <w:tc>
          <w:tcPr/>
          <w:p>
            <w:pPr>
              <w:pStyle w:val="Compact"/>
              <w:jc w:val="left"/>
            </w:pPr>
            <w:r>
              <w:t xml:space="preserve">AD-TC-2015-33210</w:t>
            </w:r>
          </w:p>
        </w:tc>
      </w:tr>
      <w:tr>
        <w:tc>
          <w:tcPr/>
          <w:p>
            <w:pPr>
              <w:pStyle w:val="Compact"/>
              <w:jc w:val="left"/>
            </w:pPr>
            <w:r>
              <w:t xml:space="preserve">TRN (Tax Registration Number)</w:t>
            </w:r>
          </w:p>
        </w:tc>
        <w:tc>
          <w:tcPr/>
          <w:p>
            <w:pPr>
              <w:pStyle w:val="Compact"/>
              <w:jc w:val="left"/>
            </w:pPr>
            <w:r>
              <w:t xml:space="preserve">100987654000005</w:t>
            </w:r>
          </w:p>
        </w:tc>
      </w:tr>
      <w:tr>
        <w:tc>
          <w:tcPr/>
          <w:p>
            <w:pPr>
              <w:pStyle w:val="Compact"/>
              <w:jc w:val="left"/>
            </w:pPr>
            <w:r>
              <w:t xml:space="preserve">Contact Person</w:t>
            </w:r>
          </w:p>
        </w:tc>
        <w:tc>
          <w:tcPr/>
          <w:p>
            <w:pPr>
              <w:pStyle w:val="Compact"/>
              <w:jc w:val="left"/>
            </w:pPr>
            <w:r>
              <w:t xml:space="preserve">Ms. Fatima Al Suwaidi, Head of Corporate Banking &amp; Banker Services Division</w:t>
            </w:r>
          </w:p>
        </w:tc>
      </w:tr>
      <w:tr>
        <w:tc>
          <w:tcPr/>
          <w:p>
            <w:pPr>
              <w:pStyle w:val="Compact"/>
              <w:jc w:val="left"/>
            </w:pPr>
            <w:r>
              <w:t xml:space="preserve">Email / Phone</w:t>
            </w:r>
          </w:p>
        </w:tc>
        <w:tc>
          <w:tcPr/>
          <w:p>
            <w:pPr>
              <w:pStyle w:val="Compact"/>
              <w:jc w:val="left"/>
            </w:pPr>
            <w:r>
              <w:t xml:space="preserve">corporate@enbs.ae / +971 2 667 8901</w:t>
            </w:r>
          </w:p>
        </w:tc>
      </w:tr>
    </w:tbl>
    <w:bookmarkEnd w:id="22"/>
    <w:bookmarkStart w:id="23" w:name="X0f6fac7117741e5d25836fc65ed31a16afbfed9"/>
    <w:p>
      <w:pPr>
        <w:pStyle w:val="Heading2"/>
      </w:pPr>
      <w:r>
        <w:t xml:space="preserve">3. Description of Goods and Services — Banker Procurement Items</w:t>
      </w:r>
    </w:p>
    <w:p>
      <w:pPr>
        <w:pStyle w:val="FirstParagraph"/>
      </w:pPr>
      <w:r>
        <w:t xml:space="preserve">This Purchase Order is issued by Al Noor Financial Services LLC for the procurement of comprehensive</w:t>
      </w:r>
      <w:r>
        <w:t xml:space="preserve"> </w:t>
      </w:r>
      <w:r>
        <w:t xml:space="preserve">Banker</w:t>
      </w:r>
      <w:r>
        <w:t xml:space="preserve"> </w:t>
      </w:r>
      <w:r>
        <w:t xml:space="preserve">services, banking infrastructure, and related professional support to be delivered and executed within the jurisdiction of</w:t>
      </w:r>
      <w:r>
        <w:t xml:space="preserve"> </w:t>
      </w:r>
      <w:r>
        <w:t xml:space="preserve">Abu Dhabi, United Arab Emirates</w:t>
      </w:r>
      <w:r>
        <w:t xml:space="preserve">. The following items and services are hereby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Banker Advisory Services — Full-year engagement of a certified Banker consultant for treasury management, liquidity planning, and regulatory compliance advisory in Abu Dhabi</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Banker-Grade Core Banking Software License — Enterprise deployment for 200 user seats, including implementation, training, and first-year maintenance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03</w:t>
            </w:r>
          </w:p>
        </w:tc>
        <w:tc>
          <w:tcPr/>
          <w:p>
            <w:pPr>
              <w:pStyle w:val="Compact"/>
              <w:jc w:val="left"/>
            </w:pPr>
            <w:r>
              <w:t xml:space="preserve">Banker Workstation Hardware — 25 high-security terminals with biometric authentication, encrypted storage, and UAE Central Bank-compliant security modules</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462,500.00</w:t>
            </w:r>
          </w:p>
        </w:tc>
      </w:tr>
      <w:tr>
        <w:tc>
          <w:tcPr/>
          <w:p>
            <w:pPr>
              <w:pStyle w:val="Compact"/>
              <w:jc w:val="left"/>
            </w:pPr>
            <w:r>
              <w:t xml:space="preserve">04</w:t>
            </w:r>
          </w:p>
        </w:tc>
        <w:tc>
          <w:tcPr/>
          <w:p>
            <w:pPr>
              <w:pStyle w:val="Compact"/>
              <w:jc w:val="left"/>
            </w:pPr>
            <w:r>
              <w:t xml:space="preserve">Banker Training &amp; Certification Program — 40-hour intensive program for 30 staff members covering UAE banking regulations, AML/CFT compliance, and digital banking operations</w:t>
            </w:r>
          </w:p>
        </w:tc>
        <w:tc>
          <w:tcPr/>
          <w:p>
            <w:pPr>
              <w:pStyle w:val="Compact"/>
              <w:jc w:val="left"/>
            </w:pPr>
            <w:r>
              <w:t xml:space="preserve">30</w:t>
            </w:r>
          </w:p>
        </w:tc>
        <w:tc>
          <w:tcPr/>
          <w:p>
            <w:pPr>
              <w:pStyle w:val="Compact"/>
              <w:jc w:val="left"/>
            </w:pPr>
            <w:r>
              <w:t xml:space="preserve">Participants</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Banker Network Security &amp; Data Center Colocation — 12-month dedicated rack space in Tier IV data center, Abu Dhabi, with 99.999% SLA</w:t>
            </w:r>
          </w:p>
        </w:tc>
        <w:tc>
          <w:tcPr/>
          <w:p>
            <w:pPr>
              <w:pStyle w:val="Compact"/>
              <w:jc w:val="left"/>
            </w:pPr>
            <w:r>
              <w:t xml:space="preserve">1</w:t>
            </w:r>
          </w:p>
        </w:tc>
        <w:tc>
          <w:tcPr/>
          <w:p>
            <w:pPr>
              <w:pStyle w:val="Compact"/>
              <w:jc w:val="left"/>
            </w:pPr>
            <w:r>
              <w:t xml:space="preserve">Year</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06</w:t>
            </w:r>
          </w:p>
        </w:tc>
        <w:tc>
          <w:tcPr/>
          <w:p>
            <w:pPr>
              <w:pStyle w:val="Compact"/>
              <w:jc w:val="left"/>
            </w:pPr>
            <w:r>
              <w:t xml:space="preserve">Banker Compliance Audit &amp; Reporting — Quarterly regulatory audit aligned with UAE Central Bank and Abu Dhabi Global Market (ADGM) requirements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95,000.00</w:t>
            </w:r>
          </w:p>
        </w:tc>
        <w:tc>
          <w:tcPr/>
          <w:p>
            <w:pPr>
              <w:pStyle w:val="Compact"/>
              <w:jc w:val="left"/>
            </w:pPr>
            <w:r>
              <w:t xml:space="preserve">380,000.00</w:t>
            </w:r>
          </w:p>
        </w:tc>
      </w:tr>
      <w:tr>
        <w:tc>
          <w:tcPr>
            <w:gridSpan w:val="5"/>
          </w:tcPr>
          <w:p>
            <w:pPr>
              <w:pStyle w:val="Compact"/>
              <w:jc w:val="left"/>
            </w:pPr>
            <w:r>
              <w:t xml:space="preserve">Subtotal (AED)</w:t>
            </w:r>
          </w:p>
        </w:tc>
        <w:tc>
          <w:tcPr/>
          <w:p>
            <w:pPr>
              <w:pStyle w:val="Compact"/>
              <w:jc w:val="left"/>
            </w:pPr>
            <w:r>
              <w:t xml:space="preserve">3,438,500.00</w:t>
            </w:r>
          </w:p>
        </w:tc>
      </w:tr>
      <w:tr>
        <w:tc>
          <w:tcPr>
            <w:gridSpan w:val="5"/>
          </w:tcPr>
          <w:p>
            <w:pPr>
              <w:pStyle w:val="Compact"/>
              <w:jc w:val="left"/>
            </w:pPr>
            <w:r>
              <w:t xml:space="preserve">VAT @ 5% (United Arab Emirates)</w:t>
            </w:r>
          </w:p>
        </w:tc>
        <w:tc>
          <w:tcPr/>
          <w:p>
            <w:pPr>
              <w:pStyle w:val="Compact"/>
              <w:jc w:val="left"/>
            </w:pPr>
            <w:r>
              <w:t xml:space="preserve">171,925.00</w:t>
            </w:r>
          </w:p>
        </w:tc>
      </w:tr>
      <w:tr>
        <w:tc>
          <w:tcPr>
            <w:gridSpan w:val="5"/>
          </w:tcPr>
          <w:p>
            <w:pPr>
              <w:pStyle w:val="Compact"/>
              <w:jc w:val="left"/>
            </w:pPr>
            <w:r>
              <w:rPr>
                <w:bCs/>
                <w:b/>
              </w:rPr>
              <w:t xml:space="preserve">Grand Total (AED)</w:t>
            </w:r>
          </w:p>
        </w:tc>
        <w:tc>
          <w:tcPr/>
          <w:p>
            <w:pPr>
              <w:pStyle w:val="Compact"/>
              <w:jc w:val="left"/>
            </w:pPr>
            <w:r>
              <w:rPr>
                <w:bCs/>
                <w:b/>
              </w:rPr>
              <w:t xml:space="preserve">3,610,425.00</w:t>
            </w:r>
          </w:p>
        </w:tc>
      </w:tr>
    </w:tbl>
    <w:bookmarkEnd w:id="23"/>
    <w:bookmarkStart w:id="24" w:name="payment-terms-conditions"/>
    <w:p>
      <w:pPr>
        <w:pStyle w:val="Heading2"/>
      </w:pPr>
      <w:r>
        <w:t xml:space="preserve">4. Payment Terms &amp; Conditions</w:t>
      </w:r>
    </w:p>
    <w:p>
      <w:pPr>
        <w:numPr>
          <w:ilvl w:val="0"/>
          <w:numId w:val="1001"/>
        </w:numPr>
        <w:pStyle w:val="Compact"/>
      </w:pPr>
      <w:r>
        <w:rPr>
          <w:bCs/>
          <w:b/>
        </w:rPr>
        <w:t xml:space="preserve">Payment Method:</w:t>
      </w:r>
      <w:r>
        <w:t xml:space="preserve"> </w:t>
      </w:r>
      <w:r>
        <w:t xml:space="preserve">Bank transfer to the designated account of Emirates National Banker Solutions PJSC at a licensed bank in Abu Dhabi, United Arab Emirates. IBAN: AE07 0000 0000 1234 5678 9012 345.</w:t>
      </w:r>
    </w:p>
    <w:p>
      <w:pPr>
        <w:numPr>
          <w:ilvl w:val="0"/>
          <w:numId w:val="1001"/>
        </w:numPr>
        <w:pStyle w:val="Compact"/>
      </w:pPr>
      <w:r>
        <w:rPr>
          <w:bCs/>
          <w:b/>
        </w:rPr>
        <w:t xml:space="preserve">Payment Schedule:</w:t>
      </w:r>
      <w:r>
        <w:t xml:space="preserve"> </w:t>
      </w:r>
      <w:r>
        <w:t xml:space="preserve">30% advance payment upon acceptance of this Purchase Order; 40% upon delivery and installation of hardware and software; 30% upon successful completion of the Banker training program and final acceptance.</w:t>
      </w:r>
    </w:p>
    <w:p>
      <w:pPr>
        <w:numPr>
          <w:ilvl w:val="0"/>
          <w:numId w:val="1001"/>
        </w:numPr>
        <w:pStyle w:val="Compact"/>
      </w:pPr>
      <w:r>
        <w:rPr>
          <w:bCs/>
          <w:b/>
        </w:rPr>
        <w:t xml:space="preserve">Payment Currency:</w:t>
      </w:r>
      <w:r>
        <w:t xml:space="preserve"> </w:t>
      </w:r>
      <w:r>
        <w:t xml:space="preserve">All amounts are denominated in United Arab Emirates Dirhams (AED). No foreign currency conversion shall apply.</w:t>
      </w:r>
    </w:p>
    <w:p>
      <w:pPr>
        <w:numPr>
          <w:ilvl w:val="0"/>
          <w:numId w:val="1001"/>
        </w:numPr>
        <w:pStyle w:val="Compact"/>
      </w:pPr>
      <w:r>
        <w:rPr>
          <w:bCs/>
          <w:b/>
        </w:rPr>
        <w:t xml:space="preserve">Payment Due Date:</w:t>
      </w:r>
      <w:r>
        <w:t xml:space="preserve"> </w:t>
      </w:r>
      <w:r>
        <w:t xml:space="preserve">Net 30 days from the date of invoice issuance for each milestone.</w:t>
      </w:r>
    </w:p>
    <w:p>
      <w:pPr>
        <w:numPr>
          <w:ilvl w:val="0"/>
          <w:numId w:val="1001"/>
        </w:numPr>
        <w:pStyle w:val="Compact"/>
      </w:pPr>
      <w:r>
        <w:rPr>
          <w:bCs/>
          <w:b/>
        </w:rPr>
        <w:t xml:space="preserve">Late Payment Penalty:</w:t>
      </w:r>
      <w:r>
        <w:t xml:space="preserve"> </w:t>
      </w:r>
      <w:r>
        <w:t xml:space="preserve">A penalty of 1.5% per month shall apply to any overdue amount, in accordance with UAE Commercial Transactions Law.</w:t>
      </w:r>
    </w:p>
    <w:bookmarkEnd w:id="24"/>
    <w:bookmarkStart w:id="25" w:name="delivery-performance-terms"/>
    <w:p>
      <w:pPr>
        <w:pStyle w:val="Heading2"/>
      </w:pPr>
      <w:r>
        <w:t xml:space="preserve">5. Delivery &amp; Performance Terms</w:t>
      </w:r>
    </w:p>
    <w:p>
      <w:pPr>
        <w:numPr>
          <w:ilvl w:val="0"/>
          <w:numId w:val="1002"/>
        </w:numPr>
        <w:pStyle w:val="Compact"/>
      </w:pPr>
      <w:r>
        <w:rPr>
          <w:bCs/>
          <w:b/>
        </w:rPr>
        <w:t xml:space="preserve">Delivery Location:</w:t>
      </w:r>
      <w:r>
        <w:t xml:space="preserve"> </w:t>
      </w:r>
      <w:r>
        <w:t xml:space="preserve">Al Noor Financial Services LLC, Tower 1, Al Maryah Island, Abu Dhabi, United Arab Emirates.</w:t>
      </w:r>
    </w:p>
    <w:p>
      <w:pPr>
        <w:numPr>
          <w:ilvl w:val="0"/>
          <w:numId w:val="1002"/>
        </w:numPr>
        <w:pStyle w:val="Compact"/>
      </w:pPr>
      <w:r>
        <w:rPr>
          <w:bCs/>
          <w:b/>
        </w:rPr>
        <w:t xml:space="preserve">Delivery Timeline:</w:t>
      </w:r>
      <w:r>
        <w:t xml:space="preserve"> </w:t>
      </w:r>
      <w:r>
        <w:t xml:space="preserve">All hardware and software shall be delivered and installed within 60 calendar days from the date of this Purchase Order. Banker advisory and training services shall commence within 14 calendar days.</w:t>
      </w:r>
    </w:p>
    <w:p>
      <w:pPr>
        <w:numPr>
          <w:ilvl w:val="0"/>
          <w:numId w:val="1002"/>
        </w:numPr>
        <w:pStyle w:val="Compact"/>
      </w:pPr>
      <w:r>
        <w:rPr>
          <w:bCs/>
          <w:b/>
        </w:rPr>
        <w:t xml:space="preserve">Performance Standard:</w:t>
      </w:r>
      <w:r>
        <w:t xml:space="preserve"> </w:t>
      </w:r>
      <w:r>
        <w:t xml:space="preserve">All Banker services shall be rendered in full compliance with the regulations of the Central Bank of the United Arab Emirates, the Abu Dhabi Global Market Financial Services Regulatory Authority (FSRA), and applicable UAE federal and emirate-level laws.</w:t>
      </w:r>
    </w:p>
    <w:p>
      <w:pPr>
        <w:numPr>
          <w:ilvl w:val="0"/>
          <w:numId w:val="1002"/>
        </w:numPr>
        <w:pStyle w:val="Compact"/>
      </w:pPr>
      <w:r>
        <w:rPr>
          <w:bCs/>
          <w:b/>
        </w:rPr>
        <w:t xml:space="preserve">Warranty:</w:t>
      </w:r>
      <w:r>
        <w:t xml:space="preserve"> </w:t>
      </w:r>
      <w:r>
        <w:t xml:space="preserve">A minimum 24-month warranty applies to all hardware. Software shall include 12 months of free updates and technical support.</w:t>
      </w:r>
    </w:p>
    <w:bookmarkEnd w:id="25"/>
    <w:bookmarkStart w:id="26" w:name="general-terms-legal-provisions"/>
    <w:p>
      <w:pPr>
        <w:pStyle w:val="Heading2"/>
      </w:pPr>
      <w:r>
        <w:t xml:space="preserve">6. General Terms &amp; Legal Provisions</w:t>
      </w:r>
    </w:p>
    <w:p>
      <w:pPr>
        <w:numPr>
          <w:ilvl w:val="0"/>
          <w:numId w:val="1003"/>
        </w:numPr>
        <w:pStyle w:val="Compact"/>
      </w:pPr>
      <w:r>
        <w:t xml:space="preserve">This Purchase Order is governed by and shall be construed in accordance with the laws of the United Arab Emirates, specifically the Federal Commercial Transactions Law and the laws of the Emirate of Abu Dhabi.</w:t>
      </w:r>
    </w:p>
    <w:p>
      <w:pPr>
        <w:numPr>
          <w:ilvl w:val="0"/>
          <w:numId w:val="1003"/>
        </w:numPr>
        <w:pStyle w:val="Compact"/>
      </w:pPr>
      <w:r>
        <w:t xml:space="preserve">Any disputes arising from this Purchase Order shall be resolved through arbitration in Abu Dhabi, United Arab Emirates, in accordance with the rules of the Abu Dhabi Global Market (ADGM) Arbitration Centre. The language of arbitration shall be English.</w:t>
      </w:r>
    </w:p>
    <w:p>
      <w:pPr>
        <w:numPr>
          <w:ilvl w:val="0"/>
          <w:numId w:val="1003"/>
        </w:numPr>
        <w:pStyle w:val="Compact"/>
      </w:pPr>
      <w:r>
        <w:t xml:space="preserve">The Supplier (Banker entity) warrants that all services and goods provided under this Purchase Order shall be free from defects, shall meet the specifications outlined herein, and shall comply with all applicable UAE data protection and banking secrecy regulations.</w:t>
      </w:r>
    </w:p>
    <w:p>
      <w:pPr>
        <w:numPr>
          <w:ilvl w:val="0"/>
          <w:numId w:val="1003"/>
        </w:numPr>
        <w:pStyle w:val="Compact"/>
      </w:pPr>
      <w:r>
        <w:t xml:space="preserve">Neither party shall be liable for delays or failures in performance caused by force majeure events, including but not limited to natural disasters, government sanctions, or acts of war, provided that the affected party notifies the other within 72 hours.</w:t>
      </w:r>
    </w:p>
    <w:p>
      <w:pPr>
        <w:numPr>
          <w:ilvl w:val="0"/>
          <w:numId w:val="1003"/>
        </w:numPr>
        <w:pStyle w:val="Compact"/>
      </w:pPr>
      <w:r>
        <w:t xml:space="preserve">This Purchase Order constitutes the entire agreement between the parties with respect to the subject matter herein and supersedes all prior negotiations, representations, or agreements.</w:t>
      </w:r>
    </w:p>
    <w:p>
      <w:pPr>
        <w:numPr>
          <w:ilvl w:val="0"/>
          <w:numId w:val="1003"/>
        </w:numPr>
        <w:pStyle w:val="Compact"/>
      </w:pPr>
      <w:r>
        <w:t xml:space="preserve">Confidentiality: Both parties agree to maintain strict confidentiality regarding all information exchanged in connection with this Purchase Order, in accordance with UAE Federal Decree-Law No. 46 of 2021 on the Protection of Personal Data.</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set forth in this Purchase Order for the procurement of Banker services and banking infrastructure in Abu Dhabi, United Arab Emirates.</w:t>
      </w:r>
    </w:p>
    <w:bookmarkEnd w:id="27"/>
    <w:p>
      <w:pPr>
        <w:pStyle w:val="BodyText"/>
      </w:pPr>
      <w:r>
        <w:rPr>
          <w:bCs/>
          <w:b/>
        </w:rPr>
        <w:t xml:space="preserve">For and on behalf of the Buyer:</w:t>
      </w:r>
    </w:p>
    <w:p>
      <w:pPr>
        <w:pStyle w:val="BodyText"/>
      </w:pPr>
      <w:r>
        <w:t xml:space="preserve">Al Noor Financial Services LLC</w:t>
      </w:r>
    </w:p>
    <w:p>
      <w:pPr>
        <w:pStyle w:val="BodyText"/>
      </w:pPr>
      <w:r>
        <w:t xml:space="preserve">Name: Mr. Khalid Al Mansoori</w:t>
      </w:r>
      <w:r>
        <w:br/>
      </w:r>
      <w:r>
        <w:t xml:space="preserve">Title: Chief Procurement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Seller (Banker Entity):</w:t>
      </w:r>
    </w:p>
    <w:p>
      <w:pPr>
        <w:pStyle w:val="BodyText"/>
      </w:pPr>
      <w:r>
        <w:t xml:space="preserve">Emirates National Banker Solutions PJSC</w:t>
      </w:r>
    </w:p>
    <w:p>
      <w:pPr>
        <w:pStyle w:val="BodyText"/>
      </w:pPr>
      <w:r>
        <w:t xml:space="preserve">Name: Ms. Fatima Al Suwaidi</w:t>
      </w:r>
      <w:r>
        <w:br/>
      </w:r>
      <w:r>
        <w:t xml:space="preserve">Title: Head of Corporate Banking &amp; Banker Services</w:t>
      </w:r>
      <w:r>
        <w:br/>
      </w:r>
      <w:r>
        <w:t xml:space="preserve">Signature: _________________________</w:t>
      </w:r>
      <w:r>
        <w:br/>
      </w:r>
      <w:r>
        <w:t xml:space="preserve">Date: _________________________</w:t>
      </w:r>
      <w:r>
        <w:br/>
      </w:r>
      <w:r>
        <w:t xml:space="preserve">Company Stamp:</w:t>
      </w:r>
    </w:p>
    <w:p>
      <w:pPr>
        <w:pStyle w:val="BodyText"/>
      </w:pPr>
      <w:r>
        <w:rPr>
          <w:bCs/>
          <w:b/>
        </w:rPr>
        <w:t xml:space="preserve">Purchase Order No. AD-2025-PO-004872</w:t>
      </w:r>
      <w:r>
        <w:t xml:space="preserve"> </w:t>
      </w:r>
      <w:r>
        <w:t xml:space="preserve">| Issued in Abu Dhabi, United Arab Emirates | 15 June 2025</w:t>
      </w:r>
    </w:p>
    <w:p>
      <w:pPr>
        <w:pStyle w:val="BodyText"/>
      </w:pPr>
      <w:r>
        <w:t xml:space="preserve">This document is the property of Al Noor Financial Services LLC. Unauthorized reproduction or distribution is prohibited under UAE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Abu Dhabi, United Arab Emirates</dc:title>
  <dc:creator/>
  <dc:language>en</dc:language>
  <cp:keywords/>
  <dcterms:created xsi:type="dcterms:W3CDTF">2026-10-10T03:53:56Z</dcterms:created>
  <dcterms:modified xsi:type="dcterms:W3CDTF">2026-10-10T03:53:56Z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