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purchase-order"/>
    <w:p>
      <w:pPr>
        <w:pStyle w:val="Heading1"/>
      </w:pPr>
      <w:r>
        <w:t xml:space="preserve">PURCHASE ORDER</w:t>
      </w:r>
    </w:p>
    <w:p>
      <w:pPr>
        <w:pStyle w:val="FirstParagraph"/>
      </w:pPr>
      <w:r>
        <w:rPr>
          <w:bCs/>
          <w:b/>
        </w:rPr>
        <w:t xml:space="preserve">Banker – Banking Solutions &amp; Professional Services</w:t>
      </w:r>
    </w:p>
    <w:p>
      <w:pPr>
        <w:pStyle w:val="BodyText"/>
      </w:pPr>
      <w:r>
        <w:t xml:space="preserve">United Arab Emirates – Dubai</w:t>
      </w:r>
    </w:p>
    <w:p>
      <w:pPr>
        <w:pStyle w:val="BodyText"/>
      </w:pPr>
      <w:r>
        <w:rPr>
          <w:bCs/>
          <w:b/>
        </w:rPr>
        <w:t xml:space="preserve">Purchase Order No.:</w:t>
      </w:r>
      <w:r>
        <w:t xml:space="preserve"> </w:t>
      </w:r>
      <w:r>
        <w:t xml:space="preserve">PO-DXB-2025-04872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Currency:</w:t>
      </w:r>
      <w:r>
        <w:t xml:space="preserve"> </w:t>
      </w:r>
      <w:r>
        <w:t xml:space="preserve">UAE Dirham (AED)</w:t>
      </w:r>
    </w:p>
    <w:p>
      <w:pPr>
        <w:pStyle w:val="BodyText"/>
      </w:pPr>
      <w:r>
        <w:rPr>
          <w:bCs/>
          <w:b/>
        </w:rPr>
        <w:t xml:space="preserve">Buyer (Purchasing Entity):</w:t>
      </w:r>
      <w:r>
        <w:br/>
      </w:r>
      <w:r>
        <w:t xml:space="preserve">Emirates Financial Services Group LLC</w:t>
      </w:r>
      <w:r>
        <w:br/>
      </w:r>
      <w:r>
        <w:t xml:space="preserve">Office 1204, Level 12, Dubai International Financial Centre (DIFC)</w:t>
      </w:r>
      <w:r>
        <w:br/>
      </w:r>
      <w:r>
        <w:t xml:space="preserve">Sheikh Zayed Road, Dubai, United Arab Emirates</w:t>
      </w:r>
      <w:r>
        <w:br/>
      </w:r>
      <w:r>
        <w:t xml:space="preserve">TRN: 100234567800003</w:t>
      </w:r>
      <w:r>
        <w:br/>
      </w:r>
      <w:r>
        <w:t xml:space="preserve">Contact: procurement@efsg.ae | +971 4 555 0192</w:t>
      </w:r>
    </w:p>
    <w:bookmarkStart w:id="20" w:name="supplier-vendor-information"/>
    <w:p>
      <w:pPr>
        <w:pStyle w:val="Heading2"/>
      </w:pPr>
      <w:r>
        <w:t xml:space="preserve">Supplier / Vendor Information</w:t>
      </w:r>
    </w:p>
    <w:p>
      <w:pPr>
        <w:pStyle w:val="FirstParagraph"/>
      </w:pPr>
      <w:r>
        <w:rPr>
          <w:bCs/>
          <w:b/>
        </w:rPr>
        <w:t xml:space="preserve">Banker Professional Solutions FZE</w:t>
      </w:r>
      <w:r>
        <w:br/>
      </w:r>
      <w:r>
        <w:t xml:space="preserve">Unit 7, Dubai Multi Commodities Centre (DMCC), Building 4</w:t>
      </w:r>
      <w:r>
        <w:br/>
      </w:r>
      <w:r>
        <w:t xml:space="preserve">Al Shindagha, Dubai, United Arab Emirates</w:t>
      </w:r>
      <w:r>
        <w:br/>
      </w:r>
      <w:r>
        <w:t xml:space="preserve">TRN: 100987654300003</w:t>
      </w:r>
      <w:r>
        <w:br/>
      </w:r>
      <w:r>
        <w:t xml:space="preserve">License No.: DMCC-2019-44521</w:t>
      </w:r>
      <w:r>
        <w:br/>
      </w:r>
      <w:r>
        <w:t xml:space="preserve">Contact: sales@bankersolutions.ae | +971 4 888 3321</w:t>
      </w:r>
      <w:r>
        <w:br/>
      </w:r>
      <w:r>
        <w:t xml:space="preserve">VAT Registration: AE100987654300003</w:t>
      </w:r>
    </w:p>
    <w:bookmarkEnd w:id="20"/>
    <w:bookmarkStart w:id="21" w:name="X8594d37ca597e319aeebdcc059fe6c8a4076f34"/>
    <w:p>
      <w:pPr>
        <w:pStyle w:val="Heading2"/>
      </w:pPr>
      <w:r>
        <w:t xml:space="preserve">1. Description of Purchase – Banker Products and Services</w:t>
      </w:r>
    </w:p>
    <w:p>
      <w:pPr>
        <w:pStyle w:val="FirstParagraph"/>
      </w:pPr>
      <w:r>
        <w:t xml:space="preserve">This Purchase Order is issued by Emirates Financial Services Group LLC (hereinafter referred to as the "Buyer") to Banker Professional Solutions FZE (hereinafter referred to as the "Supplier") for the procurement of banking equipment, software licenses, and professional services related to the Banker operational platform. All goods and services described herein are intended for use within the financial district of Dubai, United Arab Emirates, and shall comply with the regulations set forth by the Central Bank of the United Arab Emirates and the Dubai Financial Services Authority (DFSA).</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Banker Enterprise Core Banking Software – Annual License (v12.4)</w:t>
            </w:r>
          </w:p>
        </w:tc>
        <w:tc>
          <w:tcPr/>
          <w:p>
            <w:pPr>
              <w:pStyle w:val="Compact"/>
              <w:jc w:val="left"/>
            </w:pPr>
            <w:r>
              <w:t xml:space="preserve">Software</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Banker Secure Terminal Devices (Biometric Authentication) – Model BK-7700</w:t>
            </w:r>
          </w:p>
        </w:tc>
        <w:tc>
          <w:tcPr/>
          <w:p>
            <w:pPr>
              <w:pStyle w:val="Compact"/>
              <w:jc w:val="left"/>
            </w:pPr>
            <w:r>
              <w:t xml:space="preserve">Hardware</w:t>
            </w:r>
          </w:p>
        </w:tc>
        <w:tc>
          <w:tcPr/>
          <w:p>
            <w:pPr>
              <w:pStyle w:val="Compact"/>
              <w:jc w:val="left"/>
            </w:pPr>
            <w:r>
              <w:t xml:space="preserve">25</w:t>
            </w:r>
          </w:p>
        </w:tc>
        <w:tc>
          <w:tcPr/>
          <w:p>
            <w:pPr>
              <w:pStyle w:val="Compact"/>
              <w:jc w:val="left"/>
            </w:pPr>
            <w:r>
              <w:t xml:space="preserve">4,250.00</w:t>
            </w:r>
          </w:p>
        </w:tc>
        <w:tc>
          <w:tcPr/>
          <w:p>
            <w:pPr>
              <w:pStyle w:val="Compact"/>
              <w:jc w:val="left"/>
            </w:pPr>
            <w:r>
              <w:t xml:space="preserve">106,250.00</w:t>
            </w:r>
          </w:p>
        </w:tc>
      </w:tr>
      <w:tr>
        <w:tc>
          <w:tcPr/>
          <w:p>
            <w:pPr>
              <w:pStyle w:val="Compact"/>
              <w:jc w:val="left"/>
            </w:pPr>
            <w:r>
              <w:t xml:space="preserve">03</w:t>
            </w:r>
          </w:p>
        </w:tc>
        <w:tc>
          <w:tcPr/>
          <w:p>
            <w:pPr>
              <w:pStyle w:val="Compact"/>
              <w:jc w:val="left"/>
            </w:pPr>
            <w:r>
              <w:t xml:space="preserve">Banker Risk Analytics Module – Quarterly Subscription</w:t>
            </w:r>
          </w:p>
        </w:tc>
        <w:tc>
          <w:tcPr/>
          <w:p>
            <w:pPr>
              <w:pStyle w:val="Compact"/>
              <w:jc w:val="left"/>
            </w:pPr>
            <w:r>
              <w:t xml:space="preserve">Software</w:t>
            </w:r>
          </w:p>
        </w:tc>
        <w:tc>
          <w:tcPr/>
          <w:p>
            <w:pPr>
              <w:pStyle w:val="Compact"/>
              <w:jc w:val="left"/>
            </w:pPr>
            <w:r>
              <w:t xml:space="preserve">4</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Banker Compliance Reporting Suite – Annual License</w:t>
            </w:r>
          </w:p>
        </w:tc>
        <w:tc>
          <w:tcPr/>
          <w:p>
            <w:pPr>
              <w:pStyle w:val="Compact"/>
              <w:jc w:val="left"/>
            </w:pPr>
            <w:r>
              <w:t xml:space="preserve">Software</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05</w:t>
            </w:r>
          </w:p>
        </w:tc>
        <w:tc>
          <w:tcPr/>
          <w:p>
            <w:pPr>
              <w:pStyle w:val="Compact"/>
              <w:jc w:val="left"/>
            </w:pPr>
            <w:r>
              <w:t xml:space="preserve">On-Site Installation &amp; Configuration Services – Banker Platform (Dubai DIFC Office)</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Banker Staff Training Program – 40 Hours (Certified Banker Professionals)</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Banker Data Encryption Hardware – AES-256 Compliant Modules</w:t>
            </w:r>
          </w:p>
        </w:tc>
        <w:tc>
          <w:tcPr/>
          <w:p>
            <w:pPr>
              <w:pStyle w:val="Compact"/>
              <w:jc w:val="left"/>
            </w:pPr>
            <w:r>
              <w:t xml:space="preserve">Hardware</w:t>
            </w:r>
          </w:p>
        </w:tc>
        <w:tc>
          <w:tcPr/>
          <w:p>
            <w:pPr>
              <w:pStyle w:val="Compact"/>
              <w:jc w:val="left"/>
            </w:pPr>
            <w:r>
              <w:t xml:space="preserve">10</w:t>
            </w:r>
          </w:p>
        </w:tc>
        <w:tc>
          <w:tcPr/>
          <w:p>
            <w:pPr>
              <w:pStyle w:val="Compact"/>
              <w:jc w:val="left"/>
            </w:pPr>
            <w:r>
              <w:t xml:space="preserve">7,800.00</w:t>
            </w:r>
          </w:p>
        </w:tc>
        <w:tc>
          <w:tcPr/>
          <w:p>
            <w:pPr>
              <w:pStyle w:val="Compact"/>
              <w:jc w:val="left"/>
            </w:pPr>
            <w:r>
              <w:t xml:space="preserve">78,000.00</w:t>
            </w:r>
          </w:p>
        </w:tc>
      </w:tr>
      <w:tr>
        <w:tc>
          <w:tcPr/>
          <w:p>
            <w:pPr>
              <w:pStyle w:val="Compact"/>
              <w:jc w:val="left"/>
            </w:pPr>
            <w:r>
              <w:t xml:space="preserve">08</w:t>
            </w:r>
          </w:p>
        </w:tc>
        <w:tc>
          <w:tcPr/>
          <w:p>
            <w:pPr>
              <w:pStyle w:val="Compact"/>
              <w:jc w:val="left"/>
            </w:pPr>
            <w:r>
              <w:t xml:space="preserve">Annual Maintenance &amp; Technical Support – Banker Full Suite</w:t>
            </w:r>
          </w:p>
        </w:tc>
        <w:tc>
          <w:tcPr/>
          <w:p>
            <w:pPr>
              <w:pStyle w:val="Compact"/>
              <w:jc w:val="left"/>
            </w:pPr>
            <w:r>
              <w:t xml:space="preserve">Services</w:t>
            </w:r>
          </w:p>
        </w:tc>
        <w:tc>
          <w:tcPr/>
          <w:p>
            <w:pPr>
              <w:pStyle w:val="Compact"/>
              <w:jc w:val="left"/>
            </w:pPr>
            <w:r>
              <w:t xml:space="preserve">1</w:t>
            </w:r>
          </w:p>
        </w:tc>
        <w:tc>
          <w:tcPr/>
          <w:p>
            <w:pPr>
              <w:pStyle w:val="Compact"/>
              <w:jc w:val="left"/>
            </w:pPr>
            <w:r>
              <w:t xml:space="preserve">62,000.00</w:t>
            </w:r>
          </w:p>
        </w:tc>
        <w:tc>
          <w:tcPr/>
          <w:p>
            <w:pPr>
              <w:pStyle w:val="Compact"/>
              <w:jc w:val="left"/>
            </w:pPr>
            <w:r>
              <w:t xml:space="preserve">62,000.00</w:t>
            </w:r>
          </w:p>
        </w:tc>
      </w:tr>
      <w:tr>
        <w:tc>
          <w:tcPr>
            <w:gridSpan w:val="5"/>
          </w:tcPr>
          <w:p>
            <w:pPr>
              <w:pStyle w:val="Compact"/>
              <w:jc w:val="right"/>
            </w:pPr>
            <w:r>
              <w:t xml:space="preserve">Subtotal:</w:t>
            </w:r>
          </w:p>
        </w:tc>
        <w:tc>
          <w:tcPr/>
          <w:p>
            <w:pPr>
              <w:pStyle w:val="Compact"/>
              <w:jc w:val="left"/>
            </w:pPr>
            <w:r>
              <w:t xml:space="preserve">740,750.00</w:t>
            </w:r>
          </w:p>
        </w:tc>
      </w:tr>
      <w:tr>
        <w:tc>
          <w:tcPr>
            <w:gridSpan w:val="5"/>
          </w:tcPr>
          <w:p>
            <w:pPr>
              <w:pStyle w:val="Compact"/>
              <w:jc w:val="right"/>
            </w:pPr>
            <w:r>
              <w:t xml:space="preserve">VAT (5% – United Arab Emirates):</w:t>
            </w:r>
          </w:p>
        </w:tc>
        <w:tc>
          <w:tcPr/>
          <w:p>
            <w:pPr>
              <w:pStyle w:val="Compact"/>
              <w:jc w:val="left"/>
            </w:pPr>
            <w:r>
              <w:t xml:space="preserve">37,037.50</w:t>
            </w:r>
          </w:p>
        </w:tc>
      </w:tr>
      <w:tr>
        <w:tc>
          <w:tcPr>
            <w:gridSpan w:val="5"/>
          </w:tcPr>
          <w:p>
            <w:pPr>
              <w:pStyle w:val="Compact"/>
              <w:jc w:val="right"/>
            </w:pPr>
            <w:r>
              <w:t xml:space="preserve">Grand Total (AED):</w:t>
            </w:r>
          </w:p>
        </w:tc>
        <w:tc>
          <w:tcPr/>
          <w:p>
            <w:pPr>
              <w:pStyle w:val="Compact"/>
              <w:jc w:val="left"/>
            </w:pPr>
            <w:r>
              <w:t xml:space="preserve">777,787.50</w:t>
            </w:r>
          </w:p>
        </w:tc>
      </w:tr>
    </w:tbl>
    <w:bookmarkEnd w:id="22"/>
    <w:bookmarkStart w:id="23" w:name="delivery-and-installation-terms"/>
    <w:p>
      <w:pPr>
        <w:pStyle w:val="Heading2"/>
      </w:pPr>
      <w:r>
        <w:t xml:space="preserve">3. Delivery and Installation Terms</w:t>
      </w:r>
    </w:p>
    <w:p>
      <w:pPr>
        <w:pStyle w:val="FirstParagraph"/>
      </w:pPr>
      <w:r>
        <w:t xml:space="preserve">All hardware items listed under this Purchase Order shall be delivered to the Buyer's premises at the Dubai International Financial Centre, United Arab Emirates, no later than 30 June 2025. Software licenses and subscription services shall be activated electronically within five (5) business days of the Buyer's written confirmation. The Supplier, Banker Professional Solutions FZE, shall bear all costs associated with shipping, customs clearance within the United Arab Emirates, and insurance during transit. Installation and configuration of the Banker platform at the Buyer's DIFC office shall be completed within ten (10) business days of hardware delivery. The Supplier shall assign a dedicated project manager based in Dubai to oversee the entire deployment process.</w:t>
      </w:r>
    </w:p>
    <w:bookmarkEnd w:id="23"/>
    <w:bookmarkStart w:id="24" w:name="payment-terms"/>
    <w:p>
      <w:pPr>
        <w:pStyle w:val="Heading2"/>
      </w:pPr>
      <w:r>
        <w:t xml:space="preserve">4. Payment Terms</w:t>
      </w:r>
    </w:p>
    <w:p>
      <w:pPr>
        <w:pStyle w:val="FirstParagraph"/>
      </w:pPr>
      <w:r>
        <w:t xml:space="preserve">Payment shall be made in UAE Dirhams (AED) via bank transfer to the Supplier's designated account in Dubai, United Arab Emirates. The payment schedule is as follows: (a) 30% advance payment (AED 233,336.25) upon acceptance of this Purchase Order; (b) 50% (AED 388,893.75) upon successful delivery and installation of all Banker hardware and software components; (c) 20% (AED 155,557.50) upon completion of the Banker staff training program and final acceptance. All invoices shall include the Supplier's VAT registration number and shall be issued in accordance with the Federal Tax Authority regulations of the United Arab Emirates. Late payments shall incur a penalty of 1.5% per month as stipulated under UAE commercial law.</w:t>
      </w:r>
    </w:p>
    <w:bookmarkEnd w:id="24"/>
    <w:bookmarkStart w:id="25" w:name="terms-and-conditions"/>
    <w:p>
      <w:pPr>
        <w:pStyle w:val="Heading2"/>
      </w:pPr>
      <w:r>
        <w:t xml:space="preserve">5. Terms and Conditions</w:t>
      </w:r>
    </w:p>
    <w:p>
      <w:pPr>
        <w:pStyle w:val="FirstParagraph"/>
      </w:pPr>
      <w:r>
        <w:t xml:space="preserve">(a) This Purchase Order is governed by the laws of the United Arab Emirates and the specific regulations applicable to the Dubai Financial Centre. (b) The Supplier warrants that all Banker products and services shall be free from defects, fully licensed, and compliant with the data protection and financial regulations of the United Arab Emirates. (c) The Supplier shall maintain full confidentiality of all financial data, client information, and proprietary systems accessed during the installation and support of the Banker platform. (d) In the event of a dispute, both parties agree to first attempt resolution through mediation in Dubai, United Arab Emirates, before resorting to arbitration under the rules of the Dubai International Arbitration Centre (DIAC). (e) The Supplier shall provide a minimum of twelve (12) months of warranty on all Banker hardware items and a full refund guarantee on software licenses if the Banker platform fails to meet the agreed-upon performance specifications within thirty (30) days of deployment. (f) Force majeure events, including but not limited to natural disasters, government sanctions, or regulatory changes in the United Arab Emirates, shall exempt the affected party from liability for delayed performance.</w:t>
      </w:r>
    </w:p>
    <w:bookmarkEnd w:id="25"/>
    <w:bookmarkStart w:id="26" w:name="acceptance-and-authorization"/>
    <w:p>
      <w:pPr>
        <w:pStyle w:val="Heading2"/>
      </w:pPr>
      <w:r>
        <w:t xml:space="preserve">6. Acceptance and Authorization</w:t>
      </w:r>
    </w:p>
    <w:p>
      <w:pPr>
        <w:pStyle w:val="FirstParagraph"/>
      </w:pPr>
      <w:r>
        <w:t xml:space="preserve">This Purchase Order becomes effective upon signature by both parties. The Buyer authorizes the procurement of the Banker solutions described herein for use in its banking operations in Dubai, United Arab Emirates. The Supplier acknowledges receipt of this Purchase Order and confirms its ability to fulfill all line items within the stipulated timelines.</w:t>
      </w:r>
    </w:p>
    <w:p>
      <w:pPr>
        <w:pStyle w:val="BodyText"/>
      </w:pPr>
      <w:r>
        <w:rPr>
          <w:bCs/>
          <w:b/>
        </w:rPr>
        <w:t xml:space="preserve">For and on behalf of the Buyer:</w:t>
      </w:r>
      <w:r>
        <w:br/>
      </w:r>
      <w:r>
        <w:t xml:space="preserve">Emirates Financial Services Group LLC</w:t>
      </w:r>
      <w:r>
        <w:br/>
      </w:r>
      <w:r>
        <w:br/>
      </w:r>
      <w:r>
        <w:t xml:space="preserve">______________________________</w:t>
      </w:r>
      <w:r>
        <w:br/>
      </w:r>
      <w:r>
        <w:t xml:space="preserve">Name: Khalid Al Mansoori</w:t>
      </w:r>
      <w:r>
        <w:br/>
      </w:r>
      <w:r>
        <w:t xml:space="preserve">Title: Chief Procurement Officer</w:t>
      </w:r>
      <w:r>
        <w:br/>
      </w:r>
      <w:r>
        <w:t xml:space="preserve">Date: _______________</w:t>
      </w:r>
    </w:p>
    <w:p>
      <w:pPr>
        <w:pStyle w:val="BodyText"/>
      </w:pPr>
      <w:r>
        <w:rPr>
          <w:bCs/>
          <w:b/>
        </w:rPr>
        <w:t xml:space="preserve">For and on behalf of the Supplier:</w:t>
      </w:r>
      <w:r>
        <w:br/>
      </w:r>
      <w:r>
        <w:t xml:space="preserve">Banker Professional Solutions FZE</w:t>
      </w:r>
      <w:r>
        <w:br/>
      </w:r>
      <w:r>
        <w:br/>
      </w:r>
      <w:r>
        <w:t xml:space="preserve">______________________________</w:t>
      </w:r>
      <w:r>
        <w:br/>
      </w:r>
      <w:r>
        <w:t xml:space="preserve">Name: Sarah Al Farsi</w:t>
      </w:r>
      <w:r>
        <w:br/>
      </w:r>
      <w:r>
        <w:t xml:space="preserve">Title: Director of Sales, Dubai Region</w:t>
      </w:r>
      <w:r>
        <w:br/>
      </w:r>
      <w:r>
        <w:t xml:space="preserve">Date: _______________</w:t>
      </w:r>
    </w:p>
    <w:p>
      <w:pPr>
        <w:pStyle w:val="BodyText"/>
      </w:pPr>
      <w:r>
        <w:t xml:space="preserve">This Purchase Order (PO-DXB-2025-04872) is a legally binding document issued in the United Arab Emirates, Dubai. All references to "Banker" pertain to the Banker Professional Solutions platform, hardware, and associated services provided by Banker Professional Solutions FZE. This document is valid for a period of thirty (30) days from the date of issue. Any amendments must be made in writing and signed by both parties. For queries, contact the Procurement Department at Emirates Financial Services Group LLC, DIFC, Dubai,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 United Arab Emirates Dubai</dc:title>
  <dc:creator/>
  <dc:language>en</dc:language>
  <cp:keywords/>
  <dcterms:created xsi:type="dcterms:W3CDTF">2026-10-10T04:47:40Z</dcterms:created>
  <dcterms:modified xsi:type="dcterms:W3CDTF">2026-10-10T04:47:40Z</dcterms:modified>
</cp:coreProperties>
</file>

<file path=docProps/custom.xml><?xml version="1.0" encoding="utf-8"?>
<Properties xmlns="http://schemas.openxmlformats.org/officeDocument/2006/custom-properties" xmlns:vt="http://schemas.openxmlformats.org/officeDocument/2006/docPropsVTypes"/>
</file>