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Financial</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Formal Procurement Document — Financial Services &amp; Banking Solutions</w:t>
      </w:r>
    </w:p>
    <w:p>
      <w:pPr>
        <w:pStyle w:val="BodyText"/>
      </w:pPr>
      <w:r>
        <w:t xml:space="preserve">PO No. MIA-2025-04871</w:t>
      </w:r>
    </w:p>
    <w:p>
      <w:pPr>
        <w:pStyle w:val="BodyText"/>
      </w:pPr>
      <w:r>
        <w:t xml:space="preserve">United States — Miami, FL</w:t>
      </w:r>
    </w:p>
    <w:bookmarkEnd w:id="20"/>
    <w:bookmarkStart w:id="21" w:name="purchaser-buyer"/>
    <w:p>
      <w:pPr>
        <w:pStyle w:val="Heading3"/>
      </w:pPr>
      <w:r>
        <w:t xml:space="preserve">Purchaser (Buyer)</w:t>
      </w:r>
    </w:p>
    <w:p>
      <w:pPr>
        <w:pStyle w:val="FirstParagraph"/>
      </w:pPr>
      <w:r>
        <w:t xml:space="preserve">Company:</w:t>
      </w:r>
      <w:r>
        <w:t xml:space="preserve"> </w:t>
      </w:r>
      <w:r>
        <w:t xml:space="preserve">Atlantic Meridian Holdings, LLC</w:t>
      </w:r>
    </w:p>
    <w:p>
      <w:pPr>
        <w:pStyle w:val="BodyText"/>
      </w:pPr>
      <w:r>
        <w:t xml:space="preserve">Address:</w:t>
      </w:r>
      <w:r>
        <w:t xml:space="preserve"> </w:t>
      </w:r>
      <w:r>
        <w:t xml:space="preserve">301 Biscayne Boulevard, Suite 2200, Miami, FL 33132, United States</w:t>
      </w:r>
    </w:p>
    <w:p>
      <w:pPr>
        <w:pStyle w:val="BodyText"/>
      </w:pPr>
      <w:r>
        <w:t xml:space="preserve">Contact:</w:t>
      </w:r>
      <w:r>
        <w:t xml:space="preserve"> </w:t>
      </w:r>
      <w:r>
        <w:t xml:space="preserve">Daniel R. Whitfield, Procurement Director</w:t>
      </w:r>
    </w:p>
    <w:p>
      <w:pPr>
        <w:pStyle w:val="BodyText"/>
      </w:pPr>
      <w:r>
        <w:t xml:space="preserve">Phone:</w:t>
      </w:r>
      <w:r>
        <w:t xml:space="preserve"> </w:t>
      </w:r>
      <w:r>
        <w:t xml:space="preserve">(305) 555-0147</w:t>
      </w:r>
    </w:p>
    <w:p>
      <w:pPr>
        <w:pStyle w:val="BodyText"/>
      </w:pPr>
      <w:r>
        <w:t xml:space="preserve">Email:</w:t>
      </w:r>
      <w:r>
        <w:t xml:space="preserve"> </w:t>
      </w:r>
      <w:r>
        <w:t xml:space="preserve">d.whitfield@atlanticmeridian.com</w:t>
      </w:r>
    </w:p>
    <w:p>
      <w:pPr>
        <w:pStyle w:val="BodyText"/>
      </w:pPr>
      <w:r>
        <w:t xml:space="preserve">Tax ID (EIN):</w:t>
      </w:r>
      <w:r>
        <w:t xml:space="preserve"> </w:t>
      </w:r>
      <w:r>
        <w:t xml:space="preserve">82-4471903</w:t>
      </w:r>
    </w:p>
    <w:bookmarkEnd w:id="21"/>
    <w:bookmarkStart w:id="22" w:name="supplier-seller"/>
    <w:p>
      <w:pPr>
        <w:pStyle w:val="Heading3"/>
      </w:pPr>
      <w:r>
        <w:t xml:space="preserve">Supplier (Seller)</w:t>
      </w:r>
    </w:p>
    <w:p>
      <w:pPr>
        <w:pStyle w:val="FirstParagraph"/>
      </w:pPr>
      <w:r>
        <w:t xml:space="preserve">Company:</w:t>
      </w:r>
      <w:r>
        <w:t xml:space="preserve"> </w:t>
      </w:r>
      <w:r>
        <w:t xml:space="preserve">Banker Financial Solutions Group, Inc.</w:t>
      </w:r>
    </w:p>
    <w:p>
      <w:pPr>
        <w:pStyle w:val="BodyText"/>
      </w:pPr>
      <w:r>
        <w:t xml:space="preserve">Address:</w:t>
      </w:r>
      <w:r>
        <w:t xml:space="preserve"> </w:t>
      </w:r>
      <w:r>
        <w:t xml:space="preserve">1000 Brickell Avenue, Floor 34, Miami, FL 33131, United States</w:t>
      </w:r>
    </w:p>
    <w:p>
      <w:pPr>
        <w:pStyle w:val="BodyText"/>
      </w:pPr>
      <w:r>
        <w:t xml:space="preserve">Contact:</w:t>
      </w:r>
      <w:r>
        <w:t xml:space="preserve"> </w:t>
      </w:r>
      <w:r>
        <w:t xml:space="preserve">Margaret L. Chen, Account Executive</w:t>
      </w:r>
    </w:p>
    <w:p>
      <w:pPr>
        <w:pStyle w:val="BodyText"/>
      </w:pPr>
      <w:r>
        <w:t xml:space="preserve">Phone:</w:t>
      </w:r>
      <w:r>
        <w:t xml:space="preserve"> </w:t>
      </w:r>
      <w:r>
        <w:t xml:space="preserve">(305) 555-0892</w:t>
      </w:r>
    </w:p>
    <w:p>
      <w:pPr>
        <w:pStyle w:val="BodyText"/>
      </w:pPr>
      <w:r>
        <w:t xml:space="preserve">Email:</w:t>
      </w:r>
      <w:r>
        <w:t xml:space="preserve"> </w:t>
      </w:r>
      <w:r>
        <w:t xml:space="preserve">m.chen@bankerfinancial.com</w:t>
      </w:r>
    </w:p>
    <w:p>
      <w:pPr>
        <w:pStyle w:val="BodyText"/>
      </w:pPr>
      <w:r>
        <w:t xml:space="preserve">Tax ID (EIN):</w:t>
      </w:r>
      <w:r>
        <w:t xml:space="preserve"> </w:t>
      </w:r>
      <w:r>
        <w:t xml:space="preserve">59-2283417</w:t>
      </w:r>
    </w:p>
    <w:bookmarkEnd w:id="22"/>
    <w:bookmarkStart w:id="23" w:name="order-details"/>
    <w:p>
      <w:pPr>
        <w:pStyle w:val="Heading3"/>
      </w:pPr>
      <w:r>
        <w:t xml:space="preserve">Order Details</w:t>
      </w:r>
    </w:p>
    <w:p>
      <w:pPr>
        <w:pStyle w:val="FirstParagraph"/>
      </w:pPr>
      <w:r>
        <w:t xml:space="preserve">PO Date:</w:t>
      </w:r>
      <w:r>
        <w:t xml:space="preserve"> </w:t>
      </w:r>
      <w:r>
        <w:t xml:space="preserve">June 12, 2025</w:t>
      </w:r>
    </w:p>
    <w:p>
      <w:pPr>
        <w:pStyle w:val="BodyText"/>
      </w:pPr>
      <w:r>
        <w:t xml:space="preserve">Delivery Date:</w:t>
      </w:r>
      <w:r>
        <w:t xml:space="preserve"> </w:t>
      </w:r>
      <w:r>
        <w:t xml:space="preserve">July 15, 2025</w:t>
      </w:r>
    </w:p>
    <w:p>
      <w:pPr>
        <w:pStyle w:val="BodyText"/>
      </w:pPr>
      <w:r>
        <w:t xml:space="preserve">Payment Terms:</w:t>
      </w:r>
      <w:r>
        <w:t xml:space="preserve"> </w:t>
      </w:r>
      <w:r>
        <w:t xml:space="preserve">Net 30 Days</w:t>
      </w:r>
    </w:p>
    <w:p>
      <w:pPr>
        <w:pStyle w:val="BodyText"/>
      </w:pPr>
      <w:r>
        <w:t xml:space="preserve">Currency:</w:t>
      </w:r>
      <w:r>
        <w:t xml:space="preserve"> </w:t>
      </w:r>
      <w:r>
        <w:t xml:space="preserve">USD (United States Dollar)</w:t>
      </w:r>
    </w:p>
    <w:p>
      <w:pPr>
        <w:pStyle w:val="BodyText"/>
      </w:pPr>
      <w:r>
        <w:t xml:space="preserve">Shipping Method:</w:t>
      </w:r>
      <w:r>
        <w:t xml:space="preserve"> </w:t>
      </w:r>
      <w:r>
        <w:t xml:space="preserve">On-site Installation &amp; Deployment</w:t>
      </w:r>
    </w:p>
    <w:p>
      <w:pPr>
        <w:pStyle w:val="BodyText"/>
      </w:pPr>
      <w:r>
        <w:t xml:space="preserve">Governing Law:</w:t>
      </w:r>
      <w:r>
        <w:t xml:space="preserve"> </w:t>
      </w:r>
      <w:r>
        <w:t xml:space="preserve">State of Florida, United States</w:t>
      </w:r>
    </w:p>
    <w:bookmarkEnd w:id="23"/>
    <w:bookmarkStart w:id="24" w:name="X1fbf72a7bbf9fd014770113a63b730a7577a4f0"/>
    <w:p>
      <w:pPr>
        <w:pStyle w:val="Heading3"/>
      </w:pPr>
      <w:r>
        <w:t xml:space="preserve">Line Items — Banker Financial Services &amp;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Banker Enterprise Core Banking Platform — Annual License (Miami Regional Deployment)</w:t>
            </w:r>
          </w:p>
        </w:tc>
        <w:tc>
          <w:tcPr/>
          <w:p>
            <w:pPr>
              <w:pStyle w:val="Compact"/>
              <w:jc w:val="left"/>
            </w:pPr>
            <w:r>
              <w:t xml:space="preserve">BNK-ECB-2025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Jul 15, 2025</w:t>
            </w:r>
          </w:p>
        </w:tc>
      </w:tr>
      <w:tr>
        <w:tc>
          <w:tcPr/>
          <w:p>
            <w:pPr>
              <w:pStyle w:val="Compact"/>
              <w:jc w:val="left"/>
            </w:pPr>
            <w:r>
              <w:t xml:space="preserve">2</w:t>
            </w:r>
          </w:p>
        </w:tc>
        <w:tc>
          <w:tcPr/>
          <w:p>
            <w:pPr>
              <w:pStyle w:val="Compact"/>
              <w:jc w:val="left"/>
            </w:pPr>
            <w:r>
              <w:t xml:space="preserve">Banker Treasury Management Suite — Multi-Currency Module (USD, EUR, MXN)</w:t>
            </w:r>
          </w:p>
        </w:tc>
        <w:tc>
          <w:tcPr/>
          <w:p>
            <w:pPr>
              <w:pStyle w:val="Compact"/>
              <w:jc w:val="left"/>
            </w:pPr>
            <w:r>
              <w:t xml:space="preserve">BNK-TMS-MC</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c>
          <w:tcPr/>
          <w:p>
            <w:pPr>
              <w:pStyle w:val="Compact"/>
              <w:jc w:val="left"/>
            </w:pPr>
            <w:r>
              <w:t xml:space="preserve">Jul 15, 2025</w:t>
            </w:r>
          </w:p>
        </w:tc>
      </w:tr>
      <w:tr>
        <w:tc>
          <w:tcPr/>
          <w:p>
            <w:pPr>
              <w:pStyle w:val="Compact"/>
              <w:jc w:val="left"/>
            </w:pPr>
            <w:r>
              <w:t xml:space="preserve">3</w:t>
            </w:r>
          </w:p>
        </w:tc>
        <w:tc>
          <w:tcPr/>
          <w:p>
            <w:pPr>
              <w:pStyle w:val="Compact"/>
              <w:jc w:val="left"/>
            </w:pPr>
            <w:r>
              <w:t xml:space="preserve">Banker Compliance &amp; AML Monitoring System — FINRA/SEC Regulated (Miami Office)</w:t>
            </w:r>
          </w:p>
        </w:tc>
        <w:tc>
          <w:tcPr/>
          <w:p>
            <w:pPr>
              <w:pStyle w:val="Compact"/>
              <w:jc w:val="left"/>
            </w:pPr>
            <w:r>
              <w:t xml:space="preserve">BNK-CAM-FL</w:t>
            </w:r>
          </w:p>
        </w:tc>
        <w:tc>
          <w:tcPr/>
          <w:p>
            <w:pPr>
              <w:pStyle w:val="Compact"/>
              <w:jc w:val="left"/>
            </w:pPr>
            <w:r>
              <w:t xml:space="preserve">1</w:t>
            </w:r>
          </w:p>
        </w:tc>
        <w:tc>
          <w:tcPr/>
          <w:p>
            <w:pPr>
              <w:pStyle w:val="Compact"/>
              <w:jc w:val="left"/>
            </w:pPr>
            <w:r>
              <w:t xml:space="preserve">$67,800.00</w:t>
            </w:r>
          </w:p>
        </w:tc>
        <w:tc>
          <w:tcPr/>
          <w:p>
            <w:pPr>
              <w:pStyle w:val="Compact"/>
              <w:jc w:val="left"/>
            </w:pPr>
            <w:r>
              <w:t xml:space="preserve">$67,800.00</w:t>
            </w:r>
          </w:p>
        </w:tc>
        <w:tc>
          <w:tcPr/>
          <w:p>
            <w:pPr>
              <w:pStyle w:val="Compact"/>
              <w:jc w:val="left"/>
            </w:pPr>
            <w:r>
              <w:t xml:space="preserve">Jul 22, 2025</w:t>
            </w:r>
          </w:p>
        </w:tc>
      </w:tr>
      <w:tr>
        <w:tc>
          <w:tcPr/>
          <w:p>
            <w:pPr>
              <w:pStyle w:val="Compact"/>
              <w:jc w:val="left"/>
            </w:pPr>
            <w:r>
              <w:t xml:space="preserve">4</w:t>
            </w:r>
          </w:p>
        </w:tc>
        <w:tc>
          <w:tcPr/>
          <w:p>
            <w:pPr>
              <w:pStyle w:val="Compact"/>
              <w:jc w:val="left"/>
            </w:pPr>
            <w:r>
              <w:t xml:space="preserve">Banker Secure Payment Gateway — PCI-DSS Level 1 Certified (50,000 txn/month)</w:t>
            </w:r>
          </w:p>
        </w:tc>
        <w:tc>
          <w:tcPr/>
          <w:p>
            <w:pPr>
              <w:pStyle w:val="Compact"/>
              <w:jc w:val="left"/>
            </w:pPr>
            <w:r>
              <w:t xml:space="preserve">BNK-SPG-L1</w:t>
            </w:r>
          </w:p>
        </w:tc>
        <w:tc>
          <w:tcPr/>
          <w:p>
            <w:pPr>
              <w:pStyle w:val="Compact"/>
              <w:jc w:val="left"/>
            </w:pPr>
            <w:r>
              <w:t xml:space="preserve">1</w:t>
            </w:r>
          </w:p>
        </w:tc>
        <w:tc>
          <w:tcPr/>
          <w:p>
            <w:pPr>
              <w:pStyle w:val="Compact"/>
              <w:jc w:val="left"/>
            </w:pPr>
            <w:r>
              <w:t xml:space="preserve">$45,200.00</w:t>
            </w:r>
          </w:p>
        </w:tc>
        <w:tc>
          <w:tcPr/>
          <w:p>
            <w:pPr>
              <w:pStyle w:val="Compact"/>
              <w:jc w:val="left"/>
            </w:pPr>
            <w:r>
              <w:t xml:space="preserve">$45,200.00</w:t>
            </w:r>
          </w:p>
        </w:tc>
        <w:tc>
          <w:tcPr/>
          <w:p>
            <w:pPr>
              <w:pStyle w:val="Compact"/>
              <w:jc w:val="left"/>
            </w:pPr>
            <w:r>
              <w:t xml:space="preserve">Jul 22, 2025</w:t>
            </w:r>
          </w:p>
        </w:tc>
      </w:tr>
      <w:tr>
        <w:tc>
          <w:tcPr/>
          <w:p>
            <w:pPr>
              <w:pStyle w:val="Compact"/>
              <w:jc w:val="left"/>
            </w:pPr>
            <w:r>
              <w:t xml:space="preserve">5</w:t>
            </w:r>
          </w:p>
        </w:tc>
        <w:tc>
          <w:tcPr/>
          <w:p>
            <w:pPr>
              <w:pStyle w:val="Compact"/>
              <w:jc w:val="left"/>
            </w:pPr>
            <w:r>
              <w:t xml:space="preserve">On-site Installation, Configuration &amp; Staff Training (Miami, FL — 5-day engagement)</w:t>
            </w:r>
          </w:p>
        </w:tc>
        <w:tc>
          <w:tcPr/>
          <w:p>
            <w:pPr>
              <w:pStyle w:val="Compact"/>
              <w:jc w:val="left"/>
            </w:pPr>
            <w:r>
              <w:t xml:space="preserve">BNK-INST-05</w:t>
            </w:r>
          </w:p>
        </w:tc>
        <w:tc>
          <w:tcPr/>
          <w:p>
            <w:pPr>
              <w:pStyle w:val="Compact"/>
              <w:jc w:val="left"/>
            </w:pPr>
            <w:r>
              <w:t xml:space="preserve">5</w:t>
            </w:r>
          </w:p>
        </w:tc>
        <w:tc>
          <w:tcPr/>
          <w:p>
            <w:pPr>
              <w:pStyle w:val="Compact"/>
              <w:jc w:val="left"/>
            </w:pPr>
            <w:r>
              <w:t xml:space="preserve">$4,200.00</w:t>
            </w:r>
          </w:p>
        </w:tc>
        <w:tc>
          <w:tcPr/>
          <w:p>
            <w:pPr>
              <w:pStyle w:val="Compact"/>
              <w:jc w:val="left"/>
            </w:pPr>
            <w:r>
              <w:t xml:space="preserve">$21,000.00</w:t>
            </w:r>
          </w:p>
        </w:tc>
        <w:tc>
          <w:tcPr/>
          <w:p>
            <w:pPr>
              <w:pStyle w:val="Compact"/>
              <w:jc w:val="left"/>
            </w:pPr>
            <w:r>
              <w:t xml:space="preserve">Jul 22, 2025</w:t>
            </w:r>
          </w:p>
        </w:tc>
      </w:tr>
      <w:tr>
        <w:tc>
          <w:tcPr/>
          <w:p>
            <w:pPr>
              <w:pStyle w:val="Compact"/>
              <w:jc w:val="left"/>
            </w:pPr>
            <w:r>
              <w:t xml:space="preserve">6</w:t>
            </w:r>
          </w:p>
        </w:tc>
        <w:tc>
          <w:tcPr/>
          <w:p>
            <w:pPr>
              <w:pStyle w:val="Compact"/>
              <w:jc w:val="left"/>
            </w:pPr>
            <w:r>
              <w:t xml:space="preserve">Banker Dedicated Account Manager — Quarterly On-site Visits (Miami, United States)</w:t>
            </w:r>
          </w:p>
        </w:tc>
        <w:tc>
          <w:tcPr/>
          <w:p>
            <w:pPr>
              <w:pStyle w:val="Compact"/>
              <w:jc w:val="left"/>
            </w:pPr>
            <w:r>
              <w:t xml:space="preserve">BNK-DAM-Q</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Ongoing</w:t>
            </w:r>
          </w:p>
        </w:tc>
      </w:tr>
      <w:tr>
        <w:tc>
          <w:tcPr/>
          <w:p>
            <w:pPr>
              <w:pStyle w:val="Compact"/>
              <w:jc w:val="left"/>
            </w:pPr>
            <w:r>
              <w:t xml:space="preserve">7</w:t>
            </w:r>
          </w:p>
        </w:tc>
        <w:tc>
          <w:tcPr/>
          <w:p>
            <w:pPr>
              <w:pStyle w:val="Compact"/>
              <w:jc w:val="left"/>
            </w:pPr>
            <w:r>
              <w:t xml:space="preserve">24/7 Priority Technical Support — Banker Service Desk (Miami Time Zone, EST)</w:t>
            </w:r>
          </w:p>
        </w:tc>
        <w:tc>
          <w:tcPr/>
          <w:p>
            <w:pPr>
              <w:pStyle w:val="Compact"/>
              <w:jc w:val="left"/>
            </w:pPr>
            <w:r>
              <w:t xml:space="preserve">BNK-SUP-24</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Ongoing</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$459,100.00</w:t>
            </w:r>
          </w:p>
        </w:tc>
      </w:tr>
      <w:tr>
        <w:tc>
          <w:tcPr/>
          <w:p>
            <w:pPr>
              <w:pStyle w:val="Compact"/>
              <w:jc w:val="left"/>
            </w:pPr>
            <w:r>
              <w:t xml:space="preserve">Florida State Sales Tax (7.0%)</w:t>
            </w:r>
          </w:p>
        </w:tc>
        <w:tc>
          <w:tcPr/>
          <w:p>
            <w:pPr>
              <w:pStyle w:val="Compact"/>
              <w:jc w:val="right"/>
            </w:pPr>
            <w:r>
              <w:t xml:space="preserve">$32,137.00</w:t>
            </w:r>
          </w:p>
        </w:tc>
      </w:tr>
      <w:tr>
        <w:tc>
          <w:tcPr/>
          <w:p>
            <w:pPr>
              <w:pStyle w:val="Compact"/>
              <w:jc w:val="left"/>
            </w:pPr>
            <w:r>
              <w:t xml:space="preserve">Miami-Dade County Surcharge (0.5%)</w:t>
            </w:r>
          </w:p>
        </w:tc>
        <w:tc>
          <w:tcPr/>
          <w:p>
            <w:pPr>
              <w:pStyle w:val="Compact"/>
              <w:jc w:val="right"/>
            </w:pPr>
            <w:r>
              <w:t xml:space="preserve">$2,295.50</w:t>
            </w:r>
          </w:p>
        </w:tc>
      </w:tr>
      <w:tr>
        <w:tc>
          <w:tcPr/>
          <w:p>
            <w:pPr>
              <w:pStyle w:val="Compact"/>
              <w:jc w:val="left"/>
            </w:pPr>
            <w:r>
              <w:t xml:space="preserve">Shipping &amp; Handling</w:t>
            </w:r>
          </w:p>
        </w:tc>
        <w:tc>
          <w:tcPr/>
          <w:p>
            <w:pPr>
              <w:pStyle w:val="Compact"/>
              <w:jc w:val="right"/>
            </w:pPr>
            <w:r>
              <w:t xml:space="preserve">$0.00</w:t>
            </w:r>
          </w:p>
        </w:tc>
      </w:tr>
      <w:tr>
        <w:tc>
          <w:tcPr/>
          <w:p>
            <w:pPr>
              <w:pStyle w:val="Compact"/>
              <w:jc w:val="left"/>
            </w:pPr>
            <w:r>
              <w:t xml:space="preserve">Grand Total (USD)</w:t>
            </w:r>
          </w:p>
        </w:tc>
        <w:tc>
          <w:tcPr/>
          <w:p>
            <w:pPr>
              <w:pStyle w:val="Compact"/>
              <w:jc w:val="right"/>
            </w:pPr>
            <w:r>
              <w:t xml:space="preserve">$493,532.50</w:t>
            </w:r>
          </w:p>
        </w:tc>
      </w:tr>
    </w:tbl>
    <w:bookmarkEnd w:id="24"/>
    <w:bookmarkStart w:id="25" w:name="terms-conditions"/>
    <w:p>
      <w:pPr>
        <w:pStyle w:val="Heading3"/>
      </w:pPr>
      <w:r>
        <w:t xml:space="preserve">Terms &amp; Conditions</w:t>
      </w:r>
    </w:p>
    <w:p>
      <w:pPr>
        <w:numPr>
          <w:ilvl w:val="0"/>
          <w:numId w:val="1001"/>
        </w:numPr>
        <w:pStyle w:val="Compact"/>
      </w:pPr>
      <w:r>
        <w:t xml:space="preserve">This Purchase Order is issued by Atlantic Meridian Holdings, LLC, a corporation registered in the State of Florida, United States, and is directed to Banker Financial Solutions Group, Inc., a licensed financial technology provider headquartered in Miami, Florida, United States.</w:t>
      </w:r>
    </w:p>
    <w:p>
      <w:pPr>
        <w:numPr>
          <w:ilvl w:val="0"/>
          <w:numId w:val="1001"/>
        </w:numPr>
        <w:pStyle w:val="Compact"/>
      </w:pPr>
      <w:r>
        <w:t xml:space="preserve">All goods and services referenced in this Purchase Order shall be delivered, installed, and made operational at the purchaser's premises located in Miami, Florida, United States, no later than the delivery dates specified in the line items above.</w:t>
      </w:r>
    </w:p>
    <w:p>
      <w:pPr>
        <w:numPr>
          <w:ilvl w:val="0"/>
          <w:numId w:val="1001"/>
        </w:numPr>
        <w:pStyle w:val="Compact"/>
      </w:pPr>
      <w:r>
        <w:t xml:space="preserve">Banker Financial Solutions Group, Inc. warrants that all software licenses, banking modules, and compliance tools provided under this Purchase Order are free from defects, fully licensed, and compliant with all applicable United States federal regulations, including but not limited to those enforced by the Federal Reserve, the SEC, FINRA, and the Florida Office of Financial Regulation.</w:t>
      </w:r>
    </w:p>
    <w:p>
      <w:pPr>
        <w:numPr>
          <w:ilvl w:val="0"/>
          <w:numId w:val="1001"/>
        </w:numPr>
        <w:pStyle w:val="Compact"/>
      </w:pPr>
      <w:r>
        <w:t xml:space="preserve">Payment shall be made within thirty (30) calendar days of receipt of a valid invoice from Banker Financial Solutions Group, Inc. Payment shall be processed via wire transfer to the bank account designated by the supplier in Miami, United States. Late payments shall accrue interest at a rate of 1.5% per month.</w:t>
      </w:r>
    </w:p>
    <w:p>
      <w:pPr>
        <w:numPr>
          <w:ilvl w:val="0"/>
          <w:numId w:val="1001"/>
        </w:numPr>
        <w:pStyle w:val="Compact"/>
      </w:pPr>
      <w:r>
        <w:t xml:space="preserve">Banker Financial Solutions Group, Inc. shall provide a minimum of twelve (12) months of warranty coverage on all hardware components and software licenses. Any defects discovered during the warranty period shall be remedied at no additional cost to the purchaser.</w:t>
      </w:r>
    </w:p>
    <w:p>
      <w:pPr>
        <w:numPr>
          <w:ilvl w:val="0"/>
          <w:numId w:val="1001"/>
        </w:numPr>
        <w:pStyle w:val="Compact"/>
      </w:pPr>
      <w:r>
        <w:t xml:space="preserve">This Purchase Order is governed by and shall be construed in accordance with the laws of the State of Florida, United States. Any disputes arising hereunder shall be resolved through binding arbitration in Miami-Dade County, Florida, in accordance with the rules of the American Arbitration Association.</w:t>
      </w:r>
    </w:p>
    <w:p>
      <w:pPr>
        <w:numPr>
          <w:ilvl w:val="0"/>
          <w:numId w:val="1001"/>
        </w:numPr>
        <w:pStyle w:val="Compact"/>
      </w:pPr>
      <w:r>
        <w:t xml:space="preserve">Neither party shall be liable for delays or failures in performance caused by acts of God, natural disasters (including hurricanes affecting the Miami, Florida region), government actions, or other events beyond the reasonable control of the affected party.</w:t>
      </w:r>
    </w:p>
    <w:p>
      <w:pPr>
        <w:numPr>
          <w:ilvl w:val="0"/>
          <w:numId w:val="1001"/>
        </w:numPr>
        <w:pStyle w:val="Compact"/>
      </w:pPr>
      <w:r>
        <w:t xml:space="preserve">All intellectual property rights associated with the Banker financial platforms, proprietary algorithms, and banking solutions remain the exclusive property of Banker Financial Solutions Group, Inc. The purchaser is granted a non-transferable, non-exclusive license to use the products solely for internal business operations in Miami, United States.</w:t>
      </w:r>
    </w:p>
    <w:p>
      <w:pPr>
        <w:numPr>
          <w:ilvl w:val="0"/>
          <w:numId w:val="1001"/>
        </w:numPr>
        <w:pStyle w:val="Compact"/>
      </w:pPr>
      <w:r>
        <w:t xml:space="preserve">This Purchase Order constitutes the entire agreement between the parties regarding the subject matter herein and supersedes all prior negotiations, representations, or agreements, whether written or oral. No modification shall be valid unless made in writing and signed by authorized representatives of both parties.</w:t>
      </w:r>
    </w:p>
    <w:p>
      <w:pPr>
        <w:numPr>
          <w:ilvl w:val="0"/>
          <w:numId w:val="1001"/>
        </w:numPr>
        <w:pStyle w:val="Compact"/>
      </w:pPr>
      <w:r>
        <w:t xml:space="preserve">Banker Financial Solutions Group, Inc. shall maintain adequate professional liability and cyber insurance coverage throughout the term of this Purchase Order and shall provide certificates of insurance upon request.</w:t>
      </w:r>
    </w:p>
    <w:bookmarkEnd w:id="25"/>
    <w:p>
      <w:pPr>
        <w:pStyle w:val="FirstParagraph"/>
      </w:pPr>
      <w:r>
        <w:t xml:space="preserve">Authorized by — Purchaser</w:t>
      </w:r>
    </w:p>
    <w:p>
      <w:pPr>
        <w:pStyle w:val="BodyText"/>
      </w:pPr>
      <w:r>
        <w:t xml:space="preserve">Daniel R. Whitfield</w:t>
      </w:r>
      <w:r>
        <w:br/>
      </w:r>
      <w:r>
        <w:t xml:space="preserve">Procurement Director</w:t>
      </w:r>
      <w:r>
        <w:br/>
      </w:r>
      <w:r>
        <w:t xml:space="preserve">Atlantic Meridian Holdings, LLC</w:t>
      </w:r>
      <w:r>
        <w:br/>
      </w:r>
      <w:r>
        <w:t xml:space="preserve">Miami, FL — United States</w:t>
      </w:r>
      <w:r>
        <w:br/>
      </w:r>
      <w:r>
        <w:t xml:space="preserve">Date: _______________</w:t>
      </w:r>
    </w:p>
    <w:p>
      <w:pPr>
        <w:pStyle w:val="BodyText"/>
      </w:pPr>
      <w:r>
        <w:t xml:space="preserve">Accepted by — Supplier</w:t>
      </w:r>
    </w:p>
    <w:p>
      <w:pPr>
        <w:pStyle w:val="BodyText"/>
      </w:pPr>
      <w:r>
        <w:t xml:space="preserve">Margaret L. Chen</w:t>
      </w:r>
      <w:r>
        <w:br/>
      </w:r>
      <w:r>
        <w:t xml:space="preserve">Account Executive</w:t>
      </w:r>
      <w:r>
        <w:br/>
      </w:r>
      <w:r>
        <w:t xml:space="preserve">Banker Financial Solutions Group, Inc.</w:t>
      </w:r>
      <w:r>
        <w:br/>
      </w:r>
      <w:r>
        <w:t xml:space="preserve">Miami, FL — United States</w:t>
      </w:r>
      <w:r>
        <w:br/>
      </w:r>
      <w:r>
        <w:t xml:space="preserve">Date: _______________</w:t>
      </w:r>
    </w:p>
    <w:p>
      <w:pPr>
        <w:pStyle w:val="BodyText"/>
      </w:pPr>
      <w:r>
        <w:t xml:space="preserve">Purchase Order No. MIA-2025-04871 — Issued in Miami, Florida, United States</w:t>
      </w:r>
    </w:p>
    <w:p>
      <w:pPr>
        <w:pStyle w:val="BodyText"/>
      </w:pPr>
      <w:r>
        <w:t xml:space="preserve">Banker Financial Solutions Group, Inc. | 1000 Brickell Avenue, Floor 34, Miami, FL 33131 | (305) 555-0892</w:t>
      </w:r>
    </w:p>
    <w:p>
      <w:pPr>
        <w:pStyle w:val="BodyText"/>
      </w:pPr>
      <w:r>
        <w:t xml:space="preserve">This document is a controlled procurement record. Unauthorized reproduction or distribution is prohibited under United States federal and Florida state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Financial Services - Miami, United States</dc:title>
  <dc:creator/>
  <dc:language>en</dc:language>
  <cp:keywords/>
  <dcterms:created xsi:type="dcterms:W3CDTF">2026-10-10T03:52:48Z</dcterms:created>
  <dcterms:modified xsi:type="dcterms:W3CDTF">2026-10-10T03:52:48Z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