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Office</w:t>
      </w:r>
      <w:r>
        <w:t xml:space="preserve"> </w:t>
      </w:r>
      <w:r>
        <w:t xml:space="preserve">Equipment</w:t>
      </w:r>
    </w:p>
    <w:bookmarkStart w:id="20" w:name="purchase-order"/>
    <w:p>
      <w:pPr>
        <w:pStyle w:val="Heading1"/>
      </w:pPr>
      <w:r>
        <w:t xml:space="preserve">PURCHASE ORDER</w:t>
      </w:r>
    </w:p>
    <w:p>
      <w:pPr>
        <w:pStyle w:val="FirstParagraph"/>
      </w:pPr>
      <w:r>
        <w:t xml:space="preserve">Banker Office Equipment &amp; Financial Workspace Solutions</w:t>
      </w:r>
    </w:p>
    <w:p>
      <w:pPr>
        <w:pStyle w:val="BodyText"/>
      </w:pPr>
      <w:r>
        <w:t xml:space="preserve">United States San Francisco — California</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purchaser-buyer"/>
            <w:r>
              <w:t xml:space="preserve">PURCHASER (BUYER)</w:t>
            </w:r>
            <w:bookmarkEnd w:id="21"/>
          </w:p>
          <w:p>
            <w:pPr>
              <w:jc w:val="left"/>
            </w:pPr>
            <w:r>
              <w:rPr>
                <w:bCs/>
                <w:b/>
              </w:rPr>
              <w:t xml:space="preserve">Golden Gate Financial Group, Inc.</w:t>
            </w:r>
          </w:p>
          <w:p>
            <w:pPr>
              <w:jc w:val="left"/>
            </w:pPr>
            <w:r>
              <w:t xml:space="preserve">1200 Banker Street, Suite 4500</w:t>
            </w:r>
          </w:p>
          <w:p>
            <w:pPr>
              <w:jc w:val="left"/>
            </w:pPr>
            <w:r>
              <w:t xml:space="preserve">United States San Francisco, CA 94103</w:t>
            </w:r>
          </w:p>
          <w:p>
            <w:pPr>
              <w:jc w:val="left"/>
            </w:pPr>
            <w:r>
              <w:t xml:space="preserve">Phone: (415) 555-0182</w:t>
            </w:r>
          </w:p>
          <w:p>
            <w:pPr>
              <w:jc w:val="left"/>
            </w:pPr>
            <w:r>
              <w:t xml:space="preserve">Email: procurement@ggfg-financial.com</w:t>
            </w:r>
          </w:p>
          <w:p>
            <w:pPr>
              <w:jc w:val="left"/>
            </w:pPr>
            <w:r>
              <w:t xml:space="preserve">Tax ID (EIN): 94-2847163</w:t>
            </w:r>
          </w:p>
        </w:tc>
        <w:tc>
          <w:tcPr/>
          <w:p>
            <w:pPr>
              <w:pStyle w:val="Heading3"/>
              <w:jc w:val="left"/>
            </w:pPr>
            <w:bookmarkStart w:id="22" w:name="supplier-seller"/>
            <w:r>
              <w:t xml:space="preserve">SUPPLIER (SELLER)</w:t>
            </w:r>
            <w:bookmarkEnd w:id="22"/>
          </w:p>
          <w:p>
            <w:pPr>
              <w:jc w:val="left"/>
            </w:pPr>
            <w:r>
              <w:rPr>
                <w:bCs/>
                <w:b/>
              </w:rPr>
              <w:t xml:space="preserve">Bay Area Banker Furnishings Co.</w:t>
            </w:r>
          </w:p>
          <w:p>
            <w:pPr>
              <w:jc w:val="left"/>
            </w:pPr>
            <w:r>
              <w:t xml:space="preserve">875 Market Street, Floor 12</w:t>
            </w:r>
          </w:p>
          <w:p>
            <w:pPr>
              <w:jc w:val="left"/>
            </w:pPr>
            <w:r>
              <w:t xml:space="preserve">United States San Francisco, CA 94102</w:t>
            </w:r>
          </w:p>
          <w:p>
            <w:pPr>
              <w:jc w:val="left"/>
            </w:pPr>
            <w:r>
              <w:t xml:space="preserve">Phone: (415) 555-0347</w:t>
            </w:r>
          </w:p>
          <w:p>
            <w:pPr>
              <w:jc w:val="left"/>
            </w:pPr>
            <w:r>
              <w:t xml:space="preserve">Email: sales@bayareabanker.com</w:t>
            </w:r>
          </w:p>
          <w:p>
            <w:pPr>
              <w:jc w:val="left"/>
            </w:pPr>
            <w:r>
              <w:t xml:space="preserve">Tax ID (EIN): 94-5612890</w:t>
            </w:r>
          </w:p>
        </w:tc>
      </w:tr>
    </w:tbl>
    <w:p/>
    <w:tbl>
      <w:tblPr>
        <w:tblStyle w:val="Table"/>
        <w:tblW w:type="auto" w:w="0"/>
        <w:tblLook w:firstRow="0" w:lastRow="0" w:firstColumn="0" w:lastColumn="0" w:noHBand="0" w:noVBand="0" w:val="0000"/>
      </w:tblPr>
      <w:tblGrid>
        <w:gridCol w:w="2640"/>
        <w:gridCol w:w="2640"/>
        <w:gridCol w:w="2640"/>
      </w:tblGrid>
      <w:tr>
        <w:tc>
          <w:tcPr/>
          <w:p>
            <w:pPr>
              <w:pStyle w:val="Compact"/>
              <w:jc w:val="left"/>
            </w:pPr>
            <w:r>
              <w:rPr>
                <w:bCs/>
                <w:b/>
              </w:rPr>
              <w:t xml:space="preserve">Purchase Order No.:</w:t>
            </w:r>
            <w:r>
              <w:t xml:space="preserve"> </w:t>
            </w:r>
            <w:r>
              <w:t xml:space="preserve">PO-2025-SF-004871</w:t>
            </w:r>
          </w:p>
        </w:tc>
        <w:tc>
          <w:tcPr/>
          <w:p>
            <w:pPr>
              <w:pStyle w:val="Compact"/>
              <w:jc w:val="left"/>
            </w:pPr>
            <w:r>
              <w:rPr>
                <w:bCs/>
                <w:b/>
              </w:rPr>
              <w:t xml:space="preserve">Date of Issue:</w:t>
            </w:r>
            <w:r>
              <w:t xml:space="preserve"> </w:t>
            </w:r>
            <w:r>
              <w:t xml:space="preserve">June 12, 2025</w:t>
            </w:r>
          </w:p>
        </w:tc>
        <w:tc>
          <w:tcPr/>
          <w:p>
            <w:pPr>
              <w:pStyle w:val="Compact"/>
              <w:jc w:val="left"/>
            </w:pPr>
            <w:r>
              <w:rPr>
                <w:bCs/>
                <w:b/>
              </w:rPr>
              <w:t xml:space="preserve">Required Delivery Date:</w:t>
            </w:r>
            <w:r>
              <w:t xml:space="preserve"> </w:t>
            </w:r>
            <w:r>
              <w:t xml:space="preserve">July 15, 2025</w:t>
            </w:r>
          </w:p>
        </w:tc>
      </w:tr>
      <w:tr>
        <w:tc>
          <w:tcPr/>
          <w:p>
            <w:pPr>
              <w:pStyle w:val="Compact"/>
              <w:jc w:val="left"/>
            </w:pPr>
            <w:r>
              <w:rPr>
                <w:bCs/>
                <w:b/>
              </w:rPr>
              <w:t xml:space="preserve">Payment Terms:</w:t>
            </w:r>
            <w:r>
              <w:t xml:space="preserve"> </w:t>
            </w:r>
            <w:r>
              <w:t xml:space="preserve">Net 30 Days</w:t>
            </w:r>
          </w:p>
        </w:tc>
        <w:tc>
          <w:tcPr/>
          <w:p>
            <w:pPr>
              <w:pStyle w:val="Compact"/>
              <w:jc w:val="left"/>
            </w:pPr>
            <w:r>
              <w:rPr>
                <w:bCs/>
                <w:b/>
              </w:rPr>
              <w:t xml:space="preserve">Shipping Method:</w:t>
            </w:r>
            <w:r>
              <w:t xml:space="preserve"> </w:t>
            </w:r>
            <w:r>
              <w:t xml:space="preserve">Freight Collect</w:t>
            </w:r>
          </w:p>
        </w:tc>
        <w:tc>
          <w:tcPr/>
          <w:p>
            <w:pPr>
              <w:pStyle w:val="Compact"/>
              <w:jc w:val="left"/>
            </w:pPr>
            <w:r>
              <w:rPr>
                <w:bCs/>
                <w:b/>
              </w:rPr>
              <w:t xml:space="preserve">Incoterms:</w:t>
            </w:r>
            <w:r>
              <w:t xml:space="preserve"> </w:t>
            </w:r>
            <w:r>
              <w:t xml:space="preserve">DDP United States San Francisco</w:t>
            </w:r>
          </w:p>
        </w:tc>
      </w:tr>
    </w:tbl>
    <w:bookmarkStart w:id="23" w:name="itemized-purchase-order-details"/>
    <w:p>
      <w:pPr>
        <w:pStyle w:val="Heading2"/>
      </w:pPr>
      <w:r>
        <w:t xml:space="preserve">ITEMIZED PURCHASE ORDER DETAILS</w:t>
      </w:r>
    </w:p>
    <w:p>
      <w:pPr>
        <w:pStyle w:val="FirstParagraph"/>
      </w:pPr>
      <w:r>
        <w:t xml:space="preserve">This Purchase Order is issued by Golden Gate Financial Group, Inc., a licensed financial institution headquartered in United States San Francisco, for the procurement of premium Banker-grade office furniture, lighting, and workspace accessories. All items listed below are intended for the equipping of the firm's new executive banking floor and client consultation suites located at 1200 Banker Street. The supplier, Bay Area Banker Furnishings Co., is a locally established vendor in United States San Francisco specializing in high-end Banker workspace solutions for financial services firms.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(USD)</w:t>
            </w:r>
          </w:p>
        </w:tc>
        <w:tc>
          <w:tcPr/>
          <w:p>
            <w:pPr>
              <w:pStyle w:val="Compact"/>
              <w:jc w:val="right"/>
            </w:pPr>
            <w:r>
              <w:t xml:space="preserve">Line Total (USD)</w:t>
            </w:r>
          </w:p>
        </w:tc>
      </w:tr>
      <w:tr>
        <w:tc>
          <w:tcPr/>
          <w:p>
            <w:pPr>
              <w:pStyle w:val="Compact"/>
              <w:jc w:val="left"/>
            </w:pPr>
            <w:r>
              <w:t xml:space="preserve">001</w:t>
            </w:r>
          </w:p>
        </w:tc>
        <w:tc>
          <w:tcPr/>
          <w:p>
            <w:pPr>
              <w:pStyle w:val="Compact"/>
              <w:jc w:val="left"/>
            </w:pPr>
            <w:r>
              <w:t xml:space="preserve">Banker's Desk — Executive Model, 72" x 36", Solid Walnut with Brass Hardware, Slanted Writing Surface, 4-Drawer Pedestal, Fire-Rated Construction per San Francisco Building Code</w:t>
            </w:r>
          </w:p>
        </w:tc>
        <w:tc>
          <w:tcPr/>
          <w:p>
            <w:pPr>
              <w:pStyle w:val="Compact"/>
              <w:jc w:val="center"/>
            </w:pPr>
            <w:r>
              <w:t xml:space="preserve">12</w:t>
            </w:r>
          </w:p>
        </w:tc>
        <w:tc>
          <w:tcPr/>
          <w:p>
            <w:pPr>
              <w:pStyle w:val="Compact"/>
              <w:jc w:val="right"/>
            </w:pPr>
            <w:r>
              <w:t xml:space="preserve">$4,850.00</w:t>
            </w:r>
          </w:p>
        </w:tc>
        <w:tc>
          <w:tcPr/>
          <w:p>
            <w:pPr>
              <w:pStyle w:val="Compact"/>
              <w:jc w:val="right"/>
            </w:pPr>
            <w:r>
              <w:t xml:space="preserve">$58,200.00</w:t>
            </w:r>
          </w:p>
        </w:tc>
      </w:tr>
      <w:tr>
        <w:tc>
          <w:tcPr/>
          <w:p>
            <w:pPr>
              <w:pStyle w:val="Compact"/>
              <w:jc w:val="left"/>
            </w:pPr>
            <w:r>
              <w:t xml:space="preserve">002</w:t>
            </w:r>
          </w:p>
        </w:tc>
        <w:tc>
          <w:tcPr/>
          <w:p>
            <w:pPr>
              <w:pStyle w:val="Compact"/>
              <w:jc w:val="left"/>
            </w:pPr>
            <w:r>
              <w:t xml:space="preserve">Banker's Lamp — Classic Green Glass Shade, Brass Base, 12" Height, Dimmable LED Module, UL Listed, Suitable for United States San Francisco commercial electrical standards (120V/60Hz)</w:t>
            </w:r>
          </w:p>
        </w:tc>
        <w:tc>
          <w:tcPr/>
          <w:p>
            <w:pPr>
              <w:pStyle w:val="Compact"/>
              <w:jc w:val="center"/>
            </w:pPr>
            <w:r>
              <w:t xml:space="preserve">24</w:t>
            </w:r>
          </w:p>
        </w:tc>
        <w:tc>
          <w:tcPr/>
          <w:p>
            <w:pPr>
              <w:pStyle w:val="Compact"/>
              <w:jc w:val="right"/>
            </w:pPr>
            <w:r>
              <w:t xml:space="preserve">$320.00</w:t>
            </w:r>
          </w:p>
        </w:tc>
        <w:tc>
          <w:tcPr/>
          <w:p>
            <w:pPr>
              <w:pStyle w:val="Compact"/>
              <w:jc w:val="right"/>
            </w:pPr>
            <w:r>
              <w:t xml:space="preserve">$7,680.00</w:t>
            </w:r>
          </w:p>
        </w:tc>
      </w:tr>
      <w:tr>
        <w:tc>
          <w:tcPr/>
          <w:p>
            <w:pPr>
              <w:pStyle w:val="Compact"/>
              <w:jc w:val="left"/>
            </w:pPr>
            <w:r>
              <w:t xml:space="preserve">003</w:t>
            </w:r>
          </w:p>
        </w:tc>
        <w:tc>
          <w:tcPr/>
          <w:p>
            <w:pPr>
              <w:pStyle w:val="Compact"/>
              <w:jc w:val="left"/>
            </w:pPr>
            <w:r>
              <w:t xml:space="preserve">Banker's Chair — High-Back Leather Executive, Ergonomic Lumbar Support, Casters, Weight Capacity 350 lbs, BIFMA Certified, Fire-Retardant Upholstery per California TB 117-2013</w:t>
            </w:r>
          </w:p>
        </w:tc>
        <w:tc>
          <w:tcPr/>
          <w:p>
            <w:pPr>
              <w:pStyle w:val="Compact"/>
              <w:jc w:val="center"/>
            </w:pPr>
            <w:r>
              <w:t xml:space="preserve">12</w:t>
            </w:r>
          </w:p>
        </w:tc>
        <w:tc>
          <w:tcPr/>
          <w:p>
            <w:pPr>
              <w:pStyle w:val="Compact"/>
              <w:jc w:val="right"/>
            </w:pPr>
            <w:r>
              <w:t xml:space="preserve">$1,275.00</w:t>
            </w:r>
          </w:p>
        </w:tc>
        <w:tc>
          <w:tcPr/>
          <w:p>
            <w:pPr>
              <w:pStyle w:val="Compact"/>
              <w:jc w:val="right"/>
            </w:pPr>
            <w:r>
              <w:t xml:space="preserve">$15,300.00</w:t>
            </w:r>
          </w:p>
        </w:tc>
      </w:tr>
      <w:tr>
        <w:tc>
          <w:tcPr/>
          <w:p>
            <w:pPr>
              <w:pStyle w:val="Compact"/>
              <w:jc w:val="left"/>
            </w:pPr>
            <w:r>
              <w:t xml:space="preserve">004</w:t>
            </w:r>
          </w:p>
        </w:tc>
        <w:tc>
          <w:tcPr/>
          <w:p>
            <w:pPr>
              <w:pStyle w:val="Compact"/>
              <w:jc w:val="left"/>
            </w:pPr>
            <w:r>
              <w:t xml:space="preserve">Banker's Box — Heavy-Duty Steel Document Storage, 24" x 18" x 12", Lockable, Fire-Rated 1-Hour Rating, For Client Ledger and Contract Archival</w:t>
            </w:r>
          </w:p>
        </w:tc>
        <w:tc>
          <w:tcPr/>
          <w:p>
            <w:pPr>
              <w:pStyle w:val="Compact"/>
              <w:jc w:val="center"/>
            </w:pPr>
            <w:r>
              <w:t xml:space="preserve">8</w:t>
            </w:r>
          </w:p>
        </w:tc>
        <w:tc>
          <w:tcPr/>
          <w:p>
            <w:pPr>
              <w:pStyle w:val="Compact"/>
              <w:jc w:val="right"/>
            </w:pPr>
            <w:r>
              <w:t xml:space="preserve">$640.00</w:t>
            </w:r>
          </w:p>
        </w:tc>
        <w:tc>
          <w:tcPr/>
          <w:p>
            <w:pPr>
              <w:pStyle w:val="Compact"/>
              <w:jc w:val="right"/>
            </w:pPr>
            <w:r>
              <w:t xml:space="preserve">$5,120.00</w:t>
            </w:r>
          </w:p>
        </w:tc>
      </w:tr>
      <w:tr>
        <w:tc>
          <w:tcPr/>
          <w:p>
            <w:pPr>
              <w:pStyle w:val="Compact"/>
              <w:jc w:val="left"/>
            </w:pPr>
            <w:r>
              <w:t xml:space="preserve">005</w:t>
            </w:r>
          </w:p>
        </w:tc>
        <w:tc>
          <w:tcPr/>
          <w:p>
            <w:pPr>
              <w:pStyle w:val="Compact"/>
              <w:jc w:val="left"/>
            </w:pPr>
            <w:r>
              <w:t xml:space="preserve">Banker's Writing Set — Leather Portfolio, Brass Pen, Wax Seal Kit, Cotton Paper Pad (500 sheets), Engraved with Firm Monogram, United States San Francisco Edition</w:t>
            </w:r>
          </w:p>
        </w:tc>
        <w:tc>
          <w:tcPr/>
          <w:p>
            <w:pPr>
              <w:pStyle w:val="Compact"/>
              <w:jc w:val="center"/>
            </w:pPr>
            <w:r>
              <w:t xml:space="preserve">12</w:t>
            </w:r>
          </w:p>
        </w:tc>
        <w:tc>
          <w:tcPr/>
          <w:p>
            <w:pPr>
              <w:pStyle w:val="Compact"/>
              <w:jc w:val="right"/>
            </w:pPr>
            <w:r>
              <w:t xml:space="preserve">$485.00</w:t>
            </w:r>
          </w:p>
        </w:tc>
        <w:tc>
          <w:tcPr/>
          <w:p>
            <w:pPr>
              <w:pStyle w:val="Compact"/>
              <w:jc w:val="right"/>
            </w:pPr>
            <w:r>
              <w:t xml:space="preserve">$5,820.00</w:t>
            </w:r>
          </w:p>
        </w:tc>
      </w:tr>
      <w:tr>
        <w:tc>
          <w:tcPr/>
          <w:p>
            <w:pPr>
              <w:pStyle w:val="Compact"/>
              <w:jc w:val="left"/>
            </w:pPr>
            <w:r>
              <w:t xml:space="preserve">006</w:t>
            </w:r>
          </w:p>
        </w:tc>
        <w:tc>
          <w:tcPr/>
          <w:p>
            <w:pPr>
              <w:pStyle w:val="Compact"/>
              <w:jc w:val="left"/>
            </w:pPr>
            <w:r>
              <w:t xml:space="preserve">Banker's Desk Organizer — Walnut and Brass, 6-Compartment, Includes Letter Slot, Coin Tray, and Pencil Cup, Designed for Banker's Desk Model 001</w:t>
            </w:r>
          </w:p>
        </w:tc>
        <w:tc>
          <w:tcPr/>
          <w:p>
            <w:pPr>
              <w:pStyle w:val="Compact"/>
              <w:jc w:val="center"/>
            </w:pPr>
            <w:r>
              <w:t xml:space="preserve">12</w:t>
            </w:r>
          </w:p>
        </w:tc>
        <w:tc>
          <w:tcPr/>
          <w:p>
            <w:pPr>
              <w:pStyle w:val="Compact"/>
              <w:jc w:val="right"/>
            </w:pPr>
            <w:r>
              <w:t xml:space="preserve">$210.00</w:t>
            </w:r>
          </w:p>
        </w:tc>
        <w:tc>
          <w:tcPr/>
          <w:p>
            <w:pPr>
              <w:pStyle w:val="Compact"/>
              <w:jc w:val="right"/>
            </w:pPr>
            <w:r>
              <w:t xml:space="preserve">$2,520.00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$94,640.00</w:t>
            </w:r>
          </w:p>
        </w:tc>
      </w:tr>
      <w:tr>
        <w:tc>
          <w:tcPr/>
          <w:p>
            <w:pPr>
              <w:pStyle w:val="Compact"/>
              <w:jc w:val="left"/>
            </w:pPr>
            <w:r>
              <w:t xml:space="preserve">California Sales Tax (8.5%)</w:t>
            </w:r>
          </w:p>
        </w:tc>
        <w:tc>
          <w:tcPr/>
          <w:p>
            <w:pPr>
              <w:pStyle w:val="Compact"/>
              <w:jc w:val="right"/>
            </w:pPr>
            <w:r>
              <w:t xml:space="preserve">$8,044.40</w:t>
            </w:r>
          </w:p>
        </w:tc>
      </w:tr>
      <w:tr>
        <w:tc>
          <w:tcPr/>
          <w:p>
            <w:pPr>
              <w:pStyle w:val="Compact"/>
              <w:jc w:val="left"/>
            </w:pPr>
            <w:r>
              <w:t xml:space="preserve">Freight &amp; Installation (United States San Francisco)</w:t>
            </w:r>
          </w:p>
        </w:tc>
        <w:tc>
          <w:tcPr/>
          <w:p>
            <w:pPr>
              <w:pStyle w:val="Compact"/>
              <w:jc w:val="right"/>
            </w:pPr>
            <w:r>
              <w:t xml:space="preserve">$3,200.00</w:t>
            </w:r>
          </w:p>
        </w:tc>
      </w:tr>
      <w:tr>
        <w:tc>
          <w:tcPr/>
          <w:p>
            <w:pPr>
              <w:pStyle w:val="Compact"/>
              <w:jc w:val="left"/>
            </w:pPr>
            <w:r>
              <w:t xml:space="preserve">TOTAL PURCHASE ORDER AMOUNT</w:t>
            </w:r>
          </w:p>
        </w:tc>
        <w:tc>
          <w:tcPr/>
          <w:p>
            <w:pPr>
              <w:pStyle w:val="Compact"/>
              <w:jc w:val="right"/>
            </w:pPr>
            <w:r>
              <w:t xml:space="preserve">$105,884.40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Golden Gate Financial Group, Inc. (hereinafter "Buyer") and Bay Area Banker Furnishings Co. (hereinafter "Seller") for the supply of Banker-grade office equipment as specified herein. Both parties are registered entities operating within the jurisdiction of United States San Francisco, California.</w:t>
      </w:r>
    </w:p>
    <w:p>
      <w:pPr>
        <w:numPr>
          <w:ilvl w:val="0"/>
          <w:numId w:val="1001"/>
        </w:numPr>
        <w:pStyle w:val="Compact"/>
      </w:pPr>
      <w:r>
        <w:t xml:space="preserve">All Banker furniture items shall conform to the specifications outlined in this Purchase Order and shall meet or exceed all applicable California and San Francisco municipal building, fire safety, and accessibility codes. The Seller warrants that all Banker products are free from defects in materials and workmanship for a period of five (5) years from the date of delivery.</w:t>
      </w:r>
    </w:p>
    <w:p>
      <w:pPr>
        <w:numPr>
          <w:ilvl w:val="0"/>
          <w:numId w:val="1001"/>
        </w:numPr>
        <w:pStyle w:val="Compact"/>
      </w:pPr>
      <w:r>
        <w:t xml:space="preserve">Delivery shall be made to the Buyer's premises at 1200 Banker Street, Suite 4500, United States San Francisco, CA 94103, no later than July 15, 2025. The Seller is responsible for all freight, handling, and on-site installation of the Banker desks, chairs, and associated equipment. Delivery windows shall be coordinated with the Buyer's facilities management team at least 48 hours in advance.</w:t>
      </w:r>
    </w:p>
    <w:p>
      <w:pPr>
        <w:numPr>
          <w:ilvl w:val="0"/>
          <w:numId w:val="1001"/>
        </w:numPr>
        <w:pStyle w:val="Compact"/>
      </w:pPr>
      <w:r>
        <w:t xml:space="preserve">Payment shall be made via wire transfer to the Seller's designated account within thirty (30) calendar days of the Buyer's receipt of a valid invoice and confirmation of satisfactory delivery and installation. Late payments shall accrue interest at a rate of 1.5% per month, in accordance with California Commercial Code Section 2310, applicable in United States San Francisco.</w:t>
      </w:r>
    </w:p>
    <w:p>
      <w:pPr>
        <w:numPr>
          <w:ilvl w:val="0"/>
          <w:numId w:val="1001"/>
        </w:numPr>
        <w:pStyle w:val="Compact"/>
      </w:pPr>
      <w:r>
        <w:t xml:space="preserve">The Seller shall provide a comprehensive warranty document for each Banker item, including the Banker's Desk, Banker's Lamp, Banker's Chair, and Banker's Box. Any defective items shall be repaired or replaced at no additional cost to the Buyer within fifteen (15) business days of written notice.</w:t>
      </w:r>
    </w:p>
    <w:p>
      <w:pPr>
        <w:numPr>
          <w:ilvl w:val="0"/>
          <w:numId w:val="1001"/>
        </w:numPr>
        <w:pStyle w:val="Compact"/>
      </w:pPr>
      <w:r>
        <w:t xml:space="preserve">This Purchase Order shall be governed by and construed in accordance with the laws of the State of California, with venue exclusively in the Superior Court of California, County of San Francisco, United States San Francisco. Any disputes arising from this Purchase Order shall first be subject to mediation in United States San Francisco before litigation may commence.</w:t>
      </w:r>
    </w:p>
    <w:p>
      <w:pPr>
        <w:numPr>
          <w:ilvl w:val="0"/>
          <w:numId w:val="1001"/>
        </w:numPr>
        <w:pStyle w:val="Compact"/>
      </w:pPr>
      <w:r>
        <w:t xml:space="preserve">The Seller shall maintain adequate commercial general liability insurance with a minimum coverage of $2,000,000 per occurrence for the duration of this Purchase Order and the warranty period. Certificates of insurance shall be provided to the Buyer prior to delivery.</w:t>
      </w:r>
    </w:p>
    <w:p>
      <w:pPr>
        <w:numPr>
          <w:ilvl w:val="0"/>
          <w:numId w:val="1001"/>
        </w:numPr>
        <w:pStyle w:val="Compact"/>
      </w:pPr>
      <w:r>
        <w:t xml:space="preserve">Neither party shall be liable for delays caused by acts of God, natural disasters (including but not limited to seismic events common to the United States San Francisco region), government actions, or other force majeure events beyond reasonable control.</w:t>
      </w:r>
    </w:p>
    <w:bookmarkEnd w:id="24"/>
    <w:bookmarkStart w:id="25" w:name="authorization-and-acceptance"/>
    <w:p>
      <w:pPr>
        <w:pStyle w:val="Heading2"/>
      </w:pPr>
      <w:r>
        <w:t xml:space="preserve">AUTHORIZATION AND ACCEPTANCE</w:t>
      </w:r>
    </w:p>
    <w:tbl>
      <w:tblPr>
        <w:tblStyle w:val="Table"/>
        <w:tblW w:type="pct" w:w="5000"/>
        <w:tblLook w:firstRow="0" w:lastRow="0" w:firstColumn="0" w:lastColumn="0" w:noHBand="0" w:noVBand="0" w:val="0000"/>
      </w:tblPr>
      <w:tblGrid>
        <w:gridCol w:w="3960"/>
        <w:gridCol w:w="3960"/>
      </w:tblGrid>
      <w:tr>
        <w:tc>
          <w:tcPr/>
          <w:p>
            <w:pPr>
              <w:jc w:val="left"/>
            </w:pPr>
            <w:r>
              <w:t xml:space="preserve">Authorized Signature (Buyer):</w:t>
            </w:r>
          </w:p>
          <w:p>
            <w:pPr>
              <w:jc w:val="left"/>
            </w:pPr>
            <w:r>
              <w:t xml:space="preserve">Margaret Chen, VP of Procurement</w:t>
            </w:r>
          </w:p>
          <w:p>
            <w:pPr>
              <w:jc w:val="left"/>
            </w:pPr>
            <w:r>
              <w:t xml:space="preserve">Golden Gate Financial Group, Inc.</w:t>
            </w:r>
          </w:p>
          <w:p>
            <w:pPr>
              <w:jc w:val="left"/>
            </w:pPr>
            <w:r>
              <w:t xml:space="preserve">Date: _______________</w:t>
            </w:r>
          </w:p>
        </w:tc>
        <w:tc>
          <w:tcPr/>
          <w:p>
            <w:pPr>
              <w:jc w:val="left"/>
            </w:pPr>
            <w:r>
              <w:t xml:space="preserve">Authorized Signature (Seller):</w:t>
            </w:r>
          </w:p>
          <w:p>
            <w:pPr>
              <w:jc w:val="left"/>
            </w:pPr>
            <w:r>
              <w:t xml:space="preserve">Robert A. Whitfield, Sales Director</w:t>
            </w:r>
          </w:p>
          <w:p>
            <w:pPr>
              <w:jc w:val="left"/>
            </w:pPr>
            <w:r>
              <w:t xml:space="preserve">Bay Area Banker Furnishings Co.</w:t>
            </w:r>
          </w:p>
          <w:p>
            <w:pPr>
              <w:jc w:val="left"/>
            </w:pPr>
            <w:r>
              <w:t xml:space="preserve">Date: _______________</w:t>
            </w:r>
          </w:p>
        </w:tc>
      </w:tr>
    </w:tbl>
    <w:p>
      <w:pPr>
        <w:pStyle w:val="BodyText"/>
      </w:pPr>
      <w:r>
        <w:t xml:space="preserve">This Purchase Order document was prepared and issued in United States San Francisco, California. All references to "Banker" products herein denote premium-grade financial workspace furniture and accessories manufactured to the highest industry standards. This document is valid for a period of sixty (60) days from the date of issue. Any modifications to this Purchase Order must be made in writing and signed by both parties. Document Reference: PO-2025-SF-004871 | Page 1 of 1 | Confidential — For Internal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Office Equipment</dc:title>
  <dc:creator/>
  <dc:language>en</dc:language>
  <cp:keywords/>
  <dcterms:created xsi:type="dcterms:W3CDTF">2026-10-10T07:08:59Z</dcterms:created>
  <dcterms:modified xsi:type="dcterms:W3CDTF">2026-10-10T07:08:59Z</dcterms:modified>
</cp:coreProperties>
</file>

<file path=docProps/custom.xml><?xml version="1.0" encoding="utf-8"?>
<Properties xmlns="http://schemas.openxmlformats.org/officeDocument/2006/custom-properties" xmlns:vt="http://schemas.openxmlformats.org/officeDocument/2006/docPropsVTypes"/>
</file>