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GreenLab Research &amp; Analytics Sdn. Bhd.</w:t>
      </w:r>
    </w:p>
    <w:p>
      <w:pPr>
        <w:pStyle w:val="BodyText"/>
      </w:pPr>
      <w:r>
        <w:t xml:space="preserve">Level 12, Menara KL, Jalan Sultan Ismail, 50250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Registration No: 201901456789 | Tax ID: 001234567890</w:t>
      </w:r>
    </w:p>
    <w:p>
      <w:pPr>
        <w:pStyle w:val="BodyText"/>
      </w:pPr>
      <w:r>
        <w:t xml:space="preserve">Email: procurement@greenlabkl.com | Tel: +603-2145-6789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PO-2025-KL-00847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30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Malaysia Kuala Lumpur</w:t>
      </w:r>
    </w:p>
    <w:bookmarkStart w:id="21" w:name="vendor-service-provider-details"/>
    <w:p>
      <w:pPr>
        <w:pStyle w:val="Heading2"/>
      </w:pPr>
      <w:r>
        <w:t xml:space="preserve">Vendor / Service Provider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Aisyah Rahman Biological Consulting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&amp; Principal Consultant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Suite 8, Level 4, Bangsar South, 59000</w:t>
            </w:r>
            <w:r>
              <w:t xml:space="preserve"> </w:t>
            </w:r>
            <w:r>
              <w:t xml:space="preserve">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dr.aisyah@bioconsultkl.com | +603-7788-9900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License: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Malaysian Society of Biologists (MSB) Reg. No. MSB/2021/00432</w:t>
            </w:r>
          </w:p>
        </w:tc>
      </w:tr>
    </w:tbl>
    <w:bookmarkEnd w:id="21"/>
    <w:bookmarkStart w:id="22" w:name="line-items-services-and-deliverables"/>
    <w:p>
      <w:pPr>
        <w:pStyle w:val="Heading2"/>
      </w:pPr>
      <w:r>
        <w:t xml:space="preserve">Line Items – Services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qualified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for comprehensive environmental impact assessment (EIA) of the proposed industrial development zone in the Klang Valley,</w:t>
            </w:r>
            <w:r>
              <w:t xml:space="preserve"> </w:t>
            </w:r>
            <w:r>
              <w:t xml:space="preserve">Malaysia Kuala Lumpur</w:t>
            </w:r>
            <w:r>
              <w:t xml:space="preserve">. Includes field surveys, species identification, and habitat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laboratory analysis services by the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for water quality testing, soil microbiology sampling, and biodiversity index calculation at three (3) designated sites within</w:t>
            </w:r>
            <w:r>
              <w:t xml:space="preserve"> </w:t>
            </w:r>
            <w:r>
              <w:t xml:space="preserve">Malaysia Kuala Lumpur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a detailed biological survey report by the</w:t>
            </w:r>
            <w:r>
              <w:t xml:space="preserve"> </w:t>
            </w:r>
            <w:r>
              <w:t xml:space="preserve">Biologist</w:t>
            </w:r>
            <w:r>
              <w:t xml:space="preserve">, including taxonomic classification of flora and fauna, conservation status assessment, and recommendations for ecological mitigation measures.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advisory sessions (minimum 6 hours per week) by the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at the GreenLab Research &amp; Analytics facility in</w:t>
            </w:r>
            <w:r>
              <w:t xml:space="preserve"> </w:t>
            </w:r>
            <w:r>
              <w:t xml:space="preserve">Malaysia Kuala Lumpur</w:t>
            </w:r>
            <w:r>
              <w:t xml:space="preserve"> </w:t>
            </w:r>
            <w:r>
              <w:t xml:space="preserve">for a period of eight (8) weeks.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specialized biological field equipment (portable spectrophotometer, DNA barcoding kit, and entomological collection tools) to be used by the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during the assessment period in</w:t>
            </w:r>
            <w:r>
              <w:t xml:space="preserve"> </w:t>
            </w:r>
            <w:r>
              <w:t xml:space="preserve">Malaysia Kuala Lumpur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Post-assessment monitoring and follow-up review by the</w:t>
            </w:r>
            <w:r>
              <w:t xml:space="preserve"> </w:t>
            </w:r>
            <w:r>
              <w:t xml:space="preserve">Biologist</w:t>
            </w:r>
            <w:r>
              <w:t xml:space="preserve"> </w:t>
            </w:r>
            <w:r>
              <w:t xml:space="preserve">to verify compliance with Malaysian Environmental Quality Act 1974 (Act 127) and local</w:t>
            </w:r>
            <w:r>
              <w:t xml:space="preserve"> </w:t>
            </w:r>
            <w:r>
              <w:t xml:space="preserve">Malaysia Kuala Lumpur</w:t>
            </w:r>
            <w:r>
              <w:t xml:space="preserve"> </w:t>
            </w:r>
            <w:r>
              <w:t xml:space="preserve">municipal by-laws.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142,450.00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SST (6%)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8,547.00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150,997.00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(PO-2025-KL-00847) constitutes a binding agreement between GreenLab Research &amp; Analytics Sdn. Bhd. (hereinafter "the Buyer") and Dr. Aisyah Rahman Biological Consulting Services (hereinafter "the</w:t>
      </w:r>
      <w:r>
        <w:t xml:space="preserve"> </w:t>
      </w:r>
      <w:r>
        <w:t xml:space="preserve">Biologist</w:t>
      </w:r>
      <w:r>
        <w:t xml:space="preserve"> </w:t>
      </w:r>
      <w:r>
        <w:t xml:space="preserve">Vendor") for the provision of biological consulting and environmental assessment services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perform all duties in accordance with the Malaysian Environmental Quality Act 1974, the Wildlife Protection Act 1972, and all applicable regulations enforced by the Department of Environment (DOE) of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deliverables, including reports, data sets, and field samples, shall be submitted to the Buyer's office at Level 12, Menara KL,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within the timelines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account designated by the</w:t>
      </w:r>
      <w:r>
        <w:t xml:space="preserve"> </w:t>
      </w:r>
      <w:r>
        <w:t xml:space="preserve">Biologist</w:t>
      </w:r>
      <w:r>
        <w:t xml:space="preserve"> </w:t>
      </w:r>
      <w:r>
        <w:t xml:space="preserve">Vendor within thirty (30) calendar days from the date of receipt of a valid tax invoice. Late payments shall attract interest at the rate of 2% per month as stipulated under Malaysian commercial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warrants that all findings, taxonomic identifications, and ecological recommendations provided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accurate, scientifically rigorous, and free from conflicts of interest.</w:t>
      </w:r>
    </w:p>
    <w:p>
      <w:pPr>
        <w:numPr>
          <w:ilvl w:val="0"/>
          <w:numId w:val="1001"/>
        </w:numPr>
        <w:pStyle w:val="Compact"/>
      </w:pPr>
      <w:r>
        <w:t xml:space="preserve">Confidentiality: All data, samples, and proprietary information exchanged in connection with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treated as strictly confidential by both parties. 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not disclose any project details to third parties without prior written consent from the Buyer.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natural disasters, government-imposed restrictions, or public health emergencies affecting operations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in accordance with the rules of the Asian International Arbitration Centre (AIAC). If mediation fails, the matter shall be referred to the courts of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amended only by mutual written agreement signed by authorized representatives of both parties. No oral modifications shall be valid.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maintain valid professional indemnity insurance with a minimum coverage of MYR 1,000,000 throughout the duration of this engagement in</w:t>
      </w:r>
      <w:r>
        <w:t xml:space="preserve"> </w:t>
      </w:r>
      <w:r>
        <w:t xml:space="preserve">Malaysia Kuala Lumpur</w:t>
      </w:r>
      <w:r>
        <w:t xml:space="preserve">.</w:t>
      </w:r>
    </w:p>
    <w:bookmarkEnd w:id="23"/>
    <w:bookmarkStart w:id="24" w:name="delivery-and-acceptance"/>
    <w:p>
      <w:pPr>
        <w:pStyle w:val="Heading2"/>
      </w:pPr>
      <w:r>
        <w:t xml:space="preserve">Delivery and Acceptance</w:t>
      </w:r>
    </w:p>
    <w:p>
      <w:pPr>
        <w:pStyle w:val="FirstParagraph"/>
      </w:pPr>
      <w:r>
        <w:t xml:space="preserve">All services and physical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Buyer's premises in</w:t>
      </w:r>
      <w:r>
        <w:t xml:space="preserve"> </w:t>
      </w:r>
      <w:r>
        <w:t xml:space="preserve">Malaysia Kuala Lumpur</w:t>
      </w:r>
      <w:r>
        <w:t xml:space="preserve">. The Buyer shall have fourteen (14) calendar days from the date of delivery to inspect and accept or reject the work performed by the</w:t>
      </w:r>
      <w:r>
        <w:t xml:space="preserve"> </w:t>
      </w:r>
      <w:r>
        <w:t xml:space="preserve">Biologist</w:t>
      </w:r>
      <w:r>
        <w:t xml:space="preserve">. Failure to communicate rejection within this period shall constitute deemed acceptance.</w:t>
      </w:r>
    </w:p>
    <w:bookmarkEnd w:id="24"/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GreenLab Research &amp; Analytics Sdn. Bhd.</w:t>
      </w:r>
    </w:p>
    <w:p>
      <w:pPr>
        <w:pStyle w:val="BodyText"/>
      </w:pPr>
      <w:r>
        <w:t xml:space="preserve">Name: Mr. Tan Wei Ming</w:t>
      </w:r>
    </w:p>
    <w:p>
      <w:pPr>
        <w:pStyle w:val="BodyText"/>
      </w:pPr>
      <w:r>
        <w:t xml:space="preserve">Designation: Chief Procurement Officer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Biologist Vendor:</w:t>
      </w:r>
    </w:p>
    <w:p>
      <w:pPr>
        <w:pStyle w:val="BodyText"/>
      </w:pPr>
      <w:r>
        <w:t xml:space="preserve">Dr. Aisyah Rahman Biological Consulting Services</w:t>
      </w:r>
    </w:p>
    <w:p>
      <w:pPr>
        <w:pStyle w:val="BodyText"/>
      </w:pPr>
      <w:r>
        <w:t xml:space="preserve">Name: Dr. Aisyah Rahman</w:t>
      </w:r>
    </w:p>
    <w:p>
      <w:pPr>
        <w:pStyle w:val="BodyText"/>
      </w:pPr>
      <w:r>
        <w:t xml:space="preserve">Designation: Senior Biologist / Principal Consultant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GreenLab Research &amp; Analytics Sdn. Bhd., registered in</w:t>
      </w:r>
      <w:r>
        <w:t xml:space="preserve"> </w:t>
      </w:r>
      <w:r>
        <w:t xml:space="preserve">Malaysia Kuala Lumpur</w:t>
      </w:r>
      <w:r>
        <w:t xml:space="preserve">. All services rendered by the</w:t>
      </w:r>
      <w:r>
        <w:t xml:space="preserve"> </w:t>
      </w:r>
      <w:r>
        <w:t xml:space="preserve">Biologist</w:t>
      </w:r>
      <w:r>
        <w:t xml:space="preserve"> </w:t>
      </w:r>
      <w:r>
        <w:t xml:space="preserve">under this document are subject to Malaysian law. Document Reference: PO-2025-KL-00847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Biologist Services - Malaysia Kuala Lumpur</dc:title>
  <dc:creator/>
  <dc:language>en</dc:language>
  <cp:keywords/>
  <dcterms:created xsi:type="dcterms:W3CDTF">2026-10-10T09:18:53Z</dcterms:created>
  <dcterms:modified xsi:type="dcterms:W3CDTF">2026-10-10T09:18:53Z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