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purchase-order"/>
    <w:p>
      <w:pPr>
        <w:pStyle w:val="Heading1"/>
      </w:pPr>
      <w:r>
        <w:t xml:space="preserve">PURCHASE ORDER</w:t>
      </w:r>
    </w:p>
    <w:p>
      <w:pPr>
        <w:pStyle w:val="FirstParagraph"/>
      </w:pPr>
      <w:r>
        <w:rPr>
          <w:bCs/>
          <w:b/>
        </w:rPr>
        <w:t xml:space="preserve">MedTech Solutions Group Inc.</w:t>
      </w:r>
    </w:p>
    <w:p>
      <w:pPr>
        <w:pStyle w:val="BodyText"/>
      </w:pPr>
      <w:r>
        <w:t xml:space="preserve">1200 Bay Street, Suite 3400, Toronto, Ontario, Canada M5G 2A9</w:t>
      </w:r>
    </w:p>
    <w:p>
      <w:pPr>
        <w:pStyle w:val="BodyText"/>
      </w:pPr>
      <w:r>
        <w:t xml:space="preserve">Phone: +1 (416) 555-0187 | Email: procurement@medtechsolutions.ca</w:t>
      </w:r>
    </w:p>
    <w:p>
      <w:pPr>
        <w:pStyle w:val="BodyText"/>
      </w:pPr>
      <w:r>
        <w:t xml:space="preserve">Business Number (BN): 123456789RT0001</w:t>
      </w:r>
    </w:p>
    <w:bookmarkEnd w:id="20"/>
    <w:p>
      <w:pPr>
        <w:pStyle w:val="BodyText"/>
      </w:pPr>
      <w:r>
        <w:rPr>
          <w:bCs/>
          <w:b/>
        </w:rPr>
        <w:t xml:space="preserve">Purchase Order No.:</w:t>
      </w:r>
      <w:r>
        <w:t xml:space="preserve"> </w:t>
      </w:r>
      <w:r>
        <w:t xml:space="preserve">PO-2025-BME-00472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 2025</w:t>
      </w:r>
    </w:p>
    <w:p>
      <w:pPr>
        <w:pStyle w:val="BodyText"/>
      </w:pPr>
      <w:r>
        <w:rPr>
          <w:bCs/>
          <w:b/>
        </w:rPr>
        <w:t xml:space="preserve">Vendor / Supplier:</w:t>
      </w:r>
      <w:r>
        <w:t xml:space="preserve"> </w:t>
      </w:r>
      <w:r>
        <w:t xml:space="preserve">Advanced Biomedical Consulting Ltd.</w:t>
      </w:r>
    </w:p>
    <w:p>
      <w:pPr>
        <w:pStyle w:val="BodyText"/>
      </w:pPr>
      <w:r>
        <w:rPr>
          <w:bCs/>
          <w:b/>
        </w:rPr>
        <w:t xml:space="preserve">Vendor Address:</w:t>
      </w:r>
      <w:r>
        <w:t xml:space="preserve"> </w:t>
      </w:r>
      <w:r>
        <w:t xml:space="preserve">88 Queen Street West, Toronto, Ontario, Canada M5H 2N1</w:t>
      </w:r>
    </w:p>
    <w:p>
      <w:pPr>
        <w:pStyle w:val="BodyText"/>
      </w:pPr>
      <w:r>
        <w:rPr>
          <w:bCs/>
          <w:b/>
        </w:rPr>
        <w:t xml:space="preserve">Vendor Contact:</w:t>
      </w:r>
      <w:r>
        <w:t xml:space="preserve"> </w:t>
      </w:r>
      <w:r>
        <w:t xml:space="preserve">Dr. Sarah Chen, Director of Engineering Services</w:t>
      </w:r>
    </w:p>
    <w:p>
      <w:pPr>
        <w:pStyle w:val="BodyText"/>
      </w:pPr>
      <w:r>
        <w:rPr>
          <w:bCs/>
          <w:b/>
        </w:rPr>
        <w:t xml:space="preserve">Bill To:</w:t>
      </w:r>
      <w:r>
        <w:t xml:space="preserve"> </w:t>
      </w:r>
      <w:r>
        <w:t xml:space="preserve">MedTech Solutions Group Inc.</w:t>
      </w:r>
    </w:p>
    <w:p>
      <w:pPr>
        <w:pStyle w:val="BodyText"/>
      </w:pPr>
      <w:r>
        <w:rPr>
          <w:bCs/>
          <w:b/>
        </w:rPr>
        <w:t xml:space="preserve">Attn:</w:t>
      </w:r>
      <w:r>
        <w:t xml:space="preserve"> </w:t>
      </w:r>
      <w:r>
        <w:t xml:space="preserve">Mr. David Okafor, Chief Procurement Officer</w:t>
      </w:r>
    </w:p>
    <w:p>
      <w:pPr>
        <w:pStyle w:val="BodyText"/>
      </w:pPr>
      <w:r>
        <w:rPr>
          <w:bCs/>
          <w:b/>
        </w:rPr>
        <w:t xml:space="preserve">Payment Terms:</w:t>
      </w:r>
      <w:r>
        <w:t xml:space="preserve"> </w:t>
      </w:r>
      <w:r>
        <w:t xml:space="preserve">Net 30 Days</w:t>
      </w:r>
    </w:p>
    <w:p>
      <w:pPr>
        <w:pStyle w:val="BodyText"/>
      </w:pPr>
      <w:r>
        <w:t xml:space="preserve">Line Items – Biomedical Engineer Professional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Qty</w:t>
            </w:r>
          </w:p>
        </w:tc>
        <w:tc>
          <w:tcPr/>
          <w:p>
            <w:pPr>
              <w:pStyle w:val="Compact"/>
              <w:jc w:val="left"/>
            </w:pPr>
            <w:r>
              <w:t xml:space="preserve">Unit Rate (CAD)</w:t>
            </w:r>
          </w:p>
        </w:tc>
        <w:tc>
          <w:tcPr/>
          <w:p>
            <w:pPr>
              <w:pStyle w:val="Compact"/>
              <w:jc w:val="left"/>
            </w:pPr>
            <w:r>
              <w:t xml:space="preserve">Amount (CAD)</w:t>
            </w:r>
          </w:p>
        </w:tc>
        <w:tc>
          <w:tcPr/>
          <w:p>
            <w:pPr>
              <w:pStyle w:val="Compact"/>
              <w:jc w:val="left"/>
            </w:pPr>
            <w:r>
              <w:t xml:space="preserve">Location</w:t>
            </w:r>
          </w:p>
        </w:tc>
      </w:tr>
      <w:tr>
        <w:tc>
          <w:tcPr/>
          <w:p>
            <w:pPr>
              <w:pStyle w:val="Compact"/>
              <w:jc w:val="left"/>
            </w:pPr>
            <w:r>
              <w:t xml:space="preserve">1</w:t>
            </w:r>
          </w:p>
        </w:tc>
        <w:tc>
          <w:tcPr/>
          <w:p>
            <w:pPr>
              <w:pStyle w:val="Compact"/>
              <w:jc w:val="left"/>
            </w:pPr>
            <w:r>
              <w:t xml:space="preserve">Engagement of a certified</w:t>
            </w:r>
            <w:r>
              <w:t xml:space="preserve"> </w:t>
            </w:r>
            <w:r>
              <w:rPr>
                <w:bCs/>
                <w:b/>
              </w:rPr>
              <w:t xml:space="preserve">Biomedical Engineer</w:t>
            </w:r>
            <w:r>
              <w:t xml:space="preserve"> </w:t>
            </w:r>
            <w:r>
              <w:t xml:space="preserve">(P.Eng., P.Eng. (BME)) to conduct a comprehensive medical device risk assessment and ISO 13485 compliance audit for the cardiac monitoring division. The Biomedical Engineer shall perform gap analysis, prepare corrective action plans, and deliver a final compliance report within the stipulated timeline.</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Toronto, ON, Canada</w:t>
            </w:r>
          </w:p>
        </w:tc>
      </w:tr>
      <w:tr>
        <w:tc>
          <w:tcPr/>
          <w:p>
            <w:pPr>
              <w:pStyle w:val="Compact"/>
              <w:jc w:val="left"/>
            </w:pPr>
            <w:r>
              <w:t xml:space="preserve">2</w:t>
            </w:r>
          </w:p>
        </w:tc>
        <w:tc>
          <w:tcPr/>
          <w:p>
            <w:pPr>
              <w:pStyle w:val="Compact"/>
              <w:jc w:val="left"/>
            </w:pPr>
            <w:r>
              <w:t xml:space="preserve">On-site installation, calibration, and validation of 24 new patient monitoring systems (Model PM-9000) at the MedTech Solutions Group facility in Canada Toronto. The assigned Biomedical Engineer must hold valid certification from the Canadian Association of Biomedical Engineers (CABME) and demonstrate proficiency with FDA and Health Canada regulatory frameworks.</w:t>
            </w:r>
          </w:p>
        </w:tc>
        <w:tc>
          <w:tcPr/>
          <w:p>
            <w:pPr>
              <w:pStyle w:val="Compact"/>
              <w:jc w:val="left"/>
            </w:pPr>
            <w:r>
              <w:t xml:space="preserve">24</w:t>
            </w:r>
          </w:p>
        </w:tc>
        <w:tc>
          <w:tcPr/>
          <w:p>
            <w:pPr>
              <w:pStyle w:val="Compact"/>
              <w:jc w:val="left"/>
            </w:pPr>
            <w:r>
              <w:t xml:space="preserve">$1,250.00</w:t>
            </w:r>
          </w:p>
        </w:tc>
        <w:tc>
          <w:tcPr/>
          <w:p>
            <w:pPr>
              <w:pStyle w:val="Compact"/>
              <w:jc w:val="left"/>
            </w:pPr>
            <w:r>
              <w:t xml:space="preserve">$30,000.00</w:t>
            </w:r>
          </w:p>
        </w:tc>
        <w:tc>
          <w:tcPr/>
          <w:p>
            <w:pPr>
              <w:pStyle w:val="Compact"/>
              <w:jc w:val="left"/>
            </w:pPr>
            <w:r>
              <w:t xml:space="preserve">Toronto, ON, Canada</w:t>
            </w:r>
          </w:p>
        </w:tc>
      </w:tr>
      <w:tr>
        <w:tc>
          <w:tcPr/>
          <w:p>
            <w:pPr>
              <w:pStyle w:val="Compact"/>
              <w:jc w:val="left"/>
            </w:pPr>
            <w:r>
              <w:t xml:space="preserve">3</w:t>
            </w:r>
          </w:p>
        </w:tc>
        <w:tc>
          <w:tcPr/>
          <w:p>
            <w:pPr>
              <w:pStyle w:val="Compact"/>
              <w:jc w:val="left"/>
            </w:pPr>
            <w:r>
              <w:t xml:space="preserve">Development of a preventive maintenance program and standard operating procedures (SOPs) for all Class II and Class III medical devices housed at the Canada Toronto research and development laboratory. The Biomedical Engineer shall document all procedures in accordance with the Medical Devices Regulations (SOR/98-282) and provide training sessions for in-house technical staff.</w:t>
            </w:r>
          </w:p>
        </w:tc>
        <w:tc>
          <w:tcPr/>
          <w:p>
            <w:pPr>
              <w:pStyle w:val="Compact"/>
              <w:jc w:val="left"/>
            </w:pPr>
            <w:r>
              <w:t xml:space="preserve">1</w:t>
            </w:r>
          </w:p>
        </w:tc>
        <w:tc>
          <w:tcPr/>
          <w:p>
            <w:pPr>
              <w:pStyle w:val="Compact"/>
              <w:jc w:val="left"/>
            </w:pPr>
            <w:r>
              <w:t xml:space="preserve">$12,750.00</w:t>
            </w:r>
          </w:p>
        </w:tc>
        <w:tc>
          <w:tcPr/>
          <w:p>
            <w:pPr>
              <w:pStyle w:val="Compact"/>
              <w:jc w:val="left"/>
            </w:pPr>
            <w:r>
              <w:t xml:space="preserve">$12,750.00</w:t>
            </w:r>
          </w:p>
        </w:tc>
        <w:tc>
          <w:tcPr/>
          <w:p>
            <w:pPr>
              <w:pStyle w:val="Compact"/>
              <w:jc w:val="left"/>
            </w:pPr>
            <w:r>
              <w:t xml:space="preserve">Toronto, ON, Canada</w:t>
            </w:r>
          </w:p>
        </w:tc>
      </w:tr>
      <w:tr>
        <w:tc>
          <w:tcPr/>
          <w:p>
            <w:pPr>
              <w:pStyle w:val="Compact"/>
              <w:jc w:val="left"/>
            </w:pPr>
            <w:r>
              <w:t xml:space="preserve">4</w:t>
            </w:r>
          </w:p>
        </w:tc>
        <w:tc>
          <w:tcPr/>
          <w:p>
            <w:pPr>
              <w:pStyle w:val="Compact"/>
              <w:jc w:val="left"/>
            </w:pPr>
            <w:r>
              <w:t xml:space="preserve">Consultation and technical advisory services by a senior Biomedical Engineer for the design review of a next-generation implantable neurostimulator prototype. Services include biocompatibility testing oversight, finite element analysis review, and preparation of a technical dossier for submission to Health Canada's Medical Device Single Audit Program (MDSAP).</w:t>
            </w:r>
          </w:p>
        </w:tc>
        <w:tc>
          <w:tcPr/>
          <w:p>
            <w:pPr>
              <w:pStyle w:val="Compact"/>
              <w:jc w:val="left"/>
            </w:pPr>
            <w:r>
              <w:t xml:space="preserve">40 hrs</w:t>
            </w:r>
          </w:p>
        </w:tc>
        <w:tc>
          <w:tcPr/>
          <w:p>
            <w:pPr>
              <w:pStyle w:val="Compact"/>
              <w:jc w:val="left"/>
            </w:pPr>
            <w:r>
              <w:t xml:space="preserve">$225.00</w:t>
            </w:r>
          </w:p>
        </w:tc>
        <w:tc>
          <w:tcPr/>
          <w:p>
            <w:pPr>
              <w:pStyle w:val="Compact"/>
              <w:jc w:val="left"/>
            </w:pPr>
            <w:r>
              <w:t xml:space="preserve">$9,000.00</w:t>
            </w:r>
          </w:p>
        </w:tc>
        <w:tc>
          <w:tcPr/>
          <w:p>
            <w:pPr>
              <w:pStyle w:val="Compact"/>
              <w:jc w:val="left"/>
            </w:pPr>
            <w:r>
              <w:t xml:space="preserve">Remote / Toronto, ON, Canada</w:t>
            </w:r>
          </w:p>
        </w:tc>
      </w:tr>
      <w:tr>
        <w:tc>
          <w:tcPr/>
          <w:p>
            <w:pPr>
              <w:pStyle w:val="Compact"/>
              <w:jc w:val="left"/>
            </w:pPr>
            <w:r>
              <w:t xml:space="preserve">5</w:t>
            </w:r>
          </w:p>
        </w:tc>
        <w:tc>
          <w:tcPr/>
          <w:p>
            <w:pPr>
              <w:pStyle w:val="Compact"/>
              <w:jc w:val="left"/>
            </w:pPr>
            <w:r>
              <w:t xml:space="preserve">Supply and installation of a Biomedical Engineer workstation package including a calibrated oscilloscope (Tektronix MDO34), a patient simulator (CAE VSim), a thermal imaging camera, and associated software licenses. All equipment must be delivered, installed, and verified at the Canada Toronto headquarters by the contracted Biomedical Engineer prior to the required delivery date.</w:t>
            </w:r>
          </w:p>
        </w:tc>
        <w:tc>
          <w:tcPr/>
          <w:p>
            <w:pPr>
              <w:pStyle w:val="Compact"/>
              <w:jc w:val="left"/>
            </w:pPr>
            <w:r>
              <w:t xml:space="preserve">1</w:t>
            </w:r>
          </w:p>
        </w:tc>
        <w:tc>
          <w:tcPr/>
          <w:p>
            <w:pPr>
              <w:pStyle w:val="Compact"/>
              <w:jc w:val="left"/>
            </w:pPr>
            <w:r>
              <w:t xml:space="preserve">$47,300.00</w:t>
            </w:r>
          </w:p>
        </w:tc>
        <w:tc>
          <w:tcPr/>
          <w:p>
            <w:pPr>
              <w:pStyle w:val="Compact"/>
              <w:jc w:val="left"/>
            </w:pPr>
            <w:r>
              <w:t xml:space="preserve">$47,300.00</w:t>
            </w:r>
          </w:p>
        </w:tc>
        <w:tc>
          <w:tcPr/>
          <w:p>
            <w:pPr>
              <w:pStyle w:val="Compact"/>
              <w:jc w:val="left"/>
            </w:pPr>
            <w:r>
              <w:t xml:space="preserve">Toronto, ON, Canada</w:t>
            </w:r>
          </w:p>
        </w:tc>
      </w:tr>
      <w:tr>
        <w:tc>
          <w:tcPr/>
          <w:p>
            <w:pPr>
              <w:pStyle w:val="Compact"/>
              <w:jc w:val="left"/>
            </w:pPr>
            <w:r>
              <w:t xml:space="preserve">6</w:t>
            </w:r>
          </w:p>
        </w:tc>
        <w:tc>
          <w:tcPr/>
          <w:p>
            <w:pPr>
              <w:pStyle w:val="Compact"/>
              <w:jc w:val="left"/>
            </w:pPr>
            <w:r>
              <w:t xml:space="preserve">Annual retainer for ongoing Biomedical Engineer support services, including quarterly equipment inspections, emergency repair response (within 4 business hours), regulatory update briefings, and liaison with the Ontario College of Engineers regarding professional practice standards. This retainer covers the Biomedical Engineer's availability for the full calendar year 2025–2026.</w:t>
            </w:r>
          </w:p>
        </w:tc>
        <w:tc>
          <w:tcPr/>
          <w:p>
            <w:pPr>
              <w:pStyle w:val="Compact"/>
              <w:jc w:val="left"/>
            </w:pPr>
            <w:r>
              <w:t xml:space="preserve">12 mo</w:t>
            </w:r>
          </w:p>
        </w:tc>
        <w:tc>
          <w:tcPr/>
          <w:p>
            <w:pPr>
              <w:pStyle w:val="Compact"/>
              <w:jc w:val="left"/>
            </w:pPr>
            <w:r>
              <w:t xml:space="preserve">$3,200.00</w:t>
            </w:r>
          </w:p>
        </w:tc>
        <w:tc>
          <w:tcPr/>
          <w:p>
            <w:pPr>
              <w:pStyle w:val="Compact"/>
              <w:jc w:val="left"/>
            </w:pPr>
            <w:r>
              <w:t xml:space="preserve">$38,400.00</w:t>
            </w:r>
          </w:p>
        </w:tc>
        <w:tc>
          <w:tcPr/>
          <w:p>
            <w:pPr>
              <w:pStyle w:val="Compact"/>
              <w:jc w:val="left"/>
            </w:pPr>
            <w:r>
              <w:t xml:space="preserve">Toronto, ON, Canada</w:t>
            </w:r>
          </w:p>
        </w:tc>
      </w:tr>
      <w:tr>
        <w:tc>
          <w:tcPr>
            <w:gridSpan w:val="4"/>
          </w:tcPr>
          <w:p>
            <w:pPr>
              <w:pStyle w:val="Compact"/>
              <w:jc w:val="right"/>
            </w:pPr>
            <w:r>
              <w:t xml:space="preserve">Subtotal (CAD)</w:t>
            </w:r>
          </w:p>
        </w:tc>
        <w:tc>
          <w:tcPr/>
          <w:p>
            <w:pPr>
              <w:pStyle w:val="Compact"/>
              <w:jc w:val="left"/>
            </w:pPr>
            <w:r>
              <w:t xml:space="preserve">$155,950.00</w:t>
            </w:r>
          </w:p>
        </w:tc>
        <w:tc>
          <w:tcPr/>
          <w:p>
            <w:pPr>
              <w:pStyle w:val="Compact"/>
            </w:pPr>
          </w:p>
        </w:tc>
      </w:tr>
      <w:tr>
        <w:tc>
          <w:tcPr>
            <w:gridSpan w:val="4"/>
          </w:tcPr>
          <w:p>
            <w:pPr>
              <w:pStyle w:val="Compact"/>
              <w:jc w:val="right"/>
            </w:pPr>
            <w:r>
              <w:t xml:space="preserve">HST (13% – Ontario, Canada)</w:t>
            </w:r>
          </w:p>
        </w:tc>
        <w:tc>
          <w:tcPr/>
          <w:p>
            <w:pPr>
              <w:pStyle w:val="Compact"/>
              <w:jc w:val="left"/>
            </w:pPr>
            <w:r>
              <w:t xml:space="preserve">$20,273.50</w:t>
            </w:r>
          </w:p>
        </w:tc>
        <w:tc>
          <w:tcPr/>
          <w:p>
            <w:pPr>
              <w:pStyle w:val="Compact"/>
            </w:pPr>
          </w:p>
        </w:tc>
      </w:tr>
      <w:tr>
        <w:tc>
          <w:tcPr>
            <w:gridSpan w:val="4"/>
          </w:tcPr>
          <w:p>
            <w:pPr>
              <w:pStyle w:val="Compact"/>
              <w:jc w:val="right"/>
            </w:pPr>
            <w:r>
              <w:t xml:space="preserve">TOTAL PURCHASE ORDER AMOUNT (CAD)</w:t>
            </w:r>
          </w:p>
        </w:tc>
        <w:tc>
          <w:tcPr/>
          <w:p>
            <w:pPr>
              <w:pStyle w:val="Compact"/>
              <w:jc w:val="left"/>
            </w:pPr>
            <w:r>
              <w:t xml:space="preserve">$176,223.50</w:t>
            </w:r>
          </w:p>
        </w:tc>
        <w:tc>
          <w:tcPr/>
          <w:p>
            <w:pPr>
              <w:pStyle w:val="Compact"/>
            </w:pPr>
          </w:p>
        </w:tc>
      </w:tr>
    </w:tbl>
    <w:p>
      <w:pPr>
        <w:pStyle w:val="BodyText"/>
      </w:pPr>
      <w:r>
        <w:t xml:space="preserve">Terms and Conditions</w:t>
      </w:r>
    </w:p>
    <w:p>
      <w:pPr>
        <w:numPr>
          <w:ilvl w:val="0"/>
          <w:numId w:val="1001"/>
        </w:numPr>
        <w:pStyle w:val="Compact"/>
      </w:pPr>
      <w:r>
        <w:t xml:space="preserve">This</w:t>
      </w:r>
      <w:r>
        <w:t xml:space="preserve"> </w:t>
      </w:r>
      <w:r>
        <w:rPr>
          <w:bCs/>
          <w:b/>
        </w:rPr>
        <w:t xml:space="preserve">Purchase Order</w:t>
      </w:r>
      <w:r>
        <w:t xml:space="preserve"> </w:t>
      </w:r>
      <w:r>
        <w:t xml:space="preserve">(PO-2025-BME-00472) constitutes a binding agreement between MedTech Solutions Group Inc. (hereinafter "the Buyer") and Advanced Biomedical Consulting Ltd. (hereinafter "the Vendor") for the provision of Biomedical Engineer professional services and associated equipment as described in the line items above.</w:t>
      </w:r>
    </w:p>
    <w:p>
      <w:pPr>
        <w:numPr>
          <w:ilvl w:val="0"/>
          <w:numId w:val="1001"/>
        </w:numPr>
        <w:pStyle w:val="Compact"/>
      </w:pPr>
      <w:r>
        <w:t xml:space="preserve">All services referenced in this Purchase Order shall be performed by a qualified Biomedical Engineer who is a registered Professional Engineer (P.Eng.) in good standing with the Professional Engineers Ontario (PEO) and who holds a valid membership with the Canadian Association of Biomedical Engineers (CABME). The Vendor shall provide proof of licensure and insurance prior to commencement of work.</w:t>
      </w:r>
    </w:p>
    <w:p>
      <w:pPr>
        <w:numPr>
          <w:ilvl w:val="0"/>
          <w:numId w:val="1001"/>
        </w:numPr>
        <w:pStyle w:val="Compact"/>
      </w:pPr>
      <w:r>
        <w:t xml:space="preserve">All work, deliveries, and on-site activities under this Purchase Order shall take place at the Buyer's facility located in Canada Toronto, specifically at 1200 Bay Street, Toronto, Ontario, Canada M5G 2A9, unless otherwise specified in the individual line items. The Biomedical Engineer and any supporting personnel must comply with all site safety protocols, access control procedures, and confidentiality agreements in effect at the Canada Toronto premises.</w:t>
      </w:r>
    </w:p>
    <w:p>
      <w:pPr>
        <w:numPr>
          <w:ilvl w:val="0"/>
          <w:numId w:val="1001"/>
        </w:numPr>
        <w:pStyle w:val="Compact"/>
      </w:pPr>
      <w:r>
        <w:t xml:space="preserve">The Vendor shall comply with all applicable federal and provincial regulations of Canada, including but not limited to the Food and Drugs Act, the Medical Devices Regulations (SOR/98-282), the Ontario Occupational Health and Safety Act, and all municipal bylaws applicable to the City of Toronto.</w:t>
      </w:r>
    </w:p>
    <w:p>
      <w:pPr>
        <w:numPr>
          <w:ilvl w:val="0"/>
          <w:numId w:val="1001"/>
        </w:numPr>
        <w:pStyle w:val="Compact"/>
      </w:pPr>
      <w:r>
        <w:t xml:space="preserve">Payment shall be made within thirty (30) calendar days of receipt of a valid invoice from the Vendor. Invoices must reference this Purchase Order number (PO-2025-BME-00472) and be submitted to the accounts payable department at MedTech Solutions Group Inc., Toronto, Canada. Late payments shall accrue interest at the rate of 1.5% per month as permitted under the Ontario Prompt Payment and Dispute Resolution Act.</w:t>
      </w:r>
    </w:p>
    <w:p>
      <w:pPr>
        <w:numPr>
          <w:ilvl w:val="0"/>
          <w:numId w:val="1001"/>
        </w:numPr>
        <w:pStyle w:val="Compact"/>
      </w:pPr>
      <w:r>
        <w:t xml:space="preserve">The Vendor warrants that all Biomedical Engineer services shall be performed in a professional, workmanlike manner consistent with the standards of practice established by PEO and CABME. All equipment supplied under this Purchase Order shall be new, free from defects, and accompanied by all manufacturer warranties, calibration certificates, and user documentation.</w:t>
      </w:r>
    </w:p>
    <w:p>
      <w:pPr>
        <w:numPr>
          <w:ilvl w:val="0"/>
          <w:numId w:val="1001"/>
        </w:numPr>
        <w:pStyle w:val="Compact"/>
      </w:pPr>
      <w:r>
        <w:t xml:space="preserve">Confidentiality: The Biomedical Engineer and all personnel engaged under this Purchase Order shall treat all proprietary information, patient data, research findings, and trade secrets of MedTech Solutions Group Inc. as strictly confidential. This obligation shall survive the termination of this Purchase Order for a period of five (5) years.</w:t>
      </w:r>
    </w:p>
    <w:p>
      <w:pPr>
        <w:numPr>
          <w:ilvl w:val="0"/>
          <w:numId w:val="1001"/>
        </w:numPr>
        <w:pStyle w:val="Compact"/>
      </w:pPr>
      <w:r>
        <w:t xml:space="preserve">Termination: Either party may terminate this Purchase Order with thirty (30) days' written notice. In the event of termination, the Buyer shall pay for all services rendered and equipment delivered up to the date of termination. The Vendor shall return all proprietary materials and documentation belonging to the Buyer.</w:t>
      </w:r>
    </w:p>
    <w:p>
      <w:pPr>
        <w:numPr>
          <w:ilvl w:val="0"/>
          <w:numId w:val="1001"/>
        </w:numPr>
        <w:pStyle w:val="Compact"/>
      </w:pPr>
      <w:r>
        <w:t xml:space="preserve">Dispute Resolution: Any disputes arising from this Purchase Order shall be resolved through mediation in Canada Toronto in accordance with the rules of the Ontario Arbitration Association. If mediation is unsuccessful, the matter shall be referred to binding arbitration under the Arbitration Act, 1991 (Ontario). The governing law of this Purchase Order shall be the laws of the Province of Ontario and the federal laws of Canada applicable therein.</w:t>
      </w:r>
    </w:p>
    <w:p>
      <w:pPr>
        <w:numPr>
          <w:ilvl w:val="0"/>
          <w:numId w:val="1001"/>
        </w:numPr>
        <w:pStyle w:val="Compact"/>
      </w:pPr>
      <w:r>
        <w:t xml:space="preserve">This Purchase Order is subject to the Buyer's standard terms and conditions of procurement, which are incorporated herein by reference. In the event of any conflict between these terms and the Vendor's standard terms, the terms of this Purchase Order shall prevail.</w:t>
      </w:r>
    </w:p>
    <w:p>
      <w:pPr>
        <w:pStyle w:val="FirstParagraph"/>
      </w:pPr>
      <w:r>
        <w:t xml:space="preserve">Authorization and Acceptance</w:t>
      </w:r>
    </w:p>
    <w:p>
      <w:pPr>
        <w:pStyle w:val="BodyText"/>
      </w:pPr>
      <w:r>
        <w:rPr>
          <w:bCs/>
          <w:b/>
        </w:rPr>
        <w:t xml:space="preserve">For and on behalf of MedTech Solutions Group Inc. (Buyer):</w:t>
      </w:r>
    </w:p>
    <w:p>
      <w:pPr>
        <w:pStyle w:val="BodyText"/>
      </w:pPr>
      <w:r>
        <w:rPr>
          <w:bCs/>
          <w:b/>
        </w:rPr>
        <w:t xml:space="preserve">David Okafor</w:t>
      </w:r>
      <w:r>
        <w:br/>
      </w:r>
      <w:r>
        <w:t xml:space="preserve">Chief Procurement Officer</w:t>
      </w:r>
      <w:r>
        <w:br/>
      </w:r>
      <w:r>
        <w:t xml:space="preserve">Date: ______________________</w:t>
      </w:r>
    </w:p>
    <w:p>
      <w:pPr>
        <w:pStyle w:val="BodyText"/>
      </w:pPr>
      <w:r>
        <w:rPr>
          <w:bCs/>
          <w:b/>
        </w:rPr>
        <w:t xml:space="preserve">For and on behalf of Advanced Biomedical Consulting Ltd. (Vendor):</w:t>
      </w:r>
    </w:p>
    <w:p>
      <w:pPr>
        <w:pStyle w:val="BodyText"/>
      </w:pPr>
      <w:r>
        <w:rPr>
          <w:bCs/>
          <w:b/>
        </w:rPr>
        <w:t xml:space="preserve">Dr. Sarah Chen</w:t>
      </w:r>
      <w:r>
        <w:br/>
      </w:r>
      <w:r>
        <w:t xml:space="preserve">Director of Engineering Services</w:t>
      </w:r>
      <w:r>
        <w:br/>
      </w:r>
      <w:r>
        <w:t xml:space="preserve">Date: ______________________</w:t>
      </w:r>
    </w:p>
    <w:p>
      <w:pPr>
        <w:pStyle w:val="BodyText"/>
      </w:pPr>
      <w:r>
        <w:t xml:space="preserve">This Purchase Order was issued by MedTech Solutions Group Inc., Toronto, Ontario, Canada. All services and deliveries are to be performed in Canada Toronto unless otherwise stated. The Biomedical Engineer engaged under this Purchase Order must maintain all required professional registrations and insurance throughout the term of this agreement. For questions regarding this Purchase Order, contact the Procurement Department at +1 (416) 555-0187 or procurement@medtechsolutions.ca.</w:t>
      </w:r>
    </w:p>
    <w:p>
      <w:pPr>
        <w:pStyle w:val="BodyText"/>
      </w:pPr>
      <w:r>
        <w:t xml:space="preserve">© 2025 MedTech Solutions Group Inc. | PO-2025-BME-00472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Services - Canada Toronto</dc:title>
  <dc:creator/>
  <dc:language>en</dc:language>
  <cp:keywords/>
  <dcterms:created xsi:type="dcterms:W3CDTF">2026-10-10T05:06:20Z</dcterms:created>
  <dcterms:modified xsi:type="dcterms:W3CDTF">2026-10-10T05:06:20Z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