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Biomedical Engineer Professional Services &amp; Equipment Procurement</w:t>
      </w:r>
    </w:p>
    <w:p>
      <w:pPr>
        <w:pStyle w:val="BodyText"/>
      </w:pPr>
      <w:r>
        <w:t xml:space="preserve">Malaysia Kuala Lumpur | Medical Device &amp; Engineering Division</w:t>
      </w:r>
    </w:p>
    <w:bookmarkEnd w:id="20"/>
    <w:p>
      <w:pPr>
        <w:pStyle w:val="BodyText"/>
      </w:pPr>
      <w:r>
        <w:rPr>
          <w:bCs/>
          <w:b/>
        </w:rPr>
        <w:t xml:space="preserve">Purchase Order No.:</w:t>
      </w:r>
      <w:r>
        <w:t xml:space="preserve"> </w:t>
      </w:r>
      <w:r>
        <w:t xml:space="preserve">PO-BME-KL-2025-04782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Issued By:</w:t>
      </w:r>
      <w:r>
        <w:t xml:space="preserve"> </w:t>
      </w:r>
      <w:r>
        <w:t xml:space="preserve">MedTech Solutions Sdn. Bhd.</w:t>
      </w:r>
      <w:r>
        <w:br/>
      </w:r>
      <w:r>
        <w:rPr>
          <w:bCs/>
          <w:b/>
        </w:rPr>
        <w:t xml:space="preserve">Address:</w:t>
      </w:r>
      <w:r>
        <w:t xml:space="preserve"> </w:t>
      </w:r>
      <w:r>
        <w:t xml:space="preserve">Level 12, Menara Maxis, Jalan Tun Razak,</w:t>
      </w:r>
      <w:r>
        <w:br/>
      </w:r>
      <w:r>
        <w:t xml:space="preserve">50400 Malaysia Kuala Lumpur, Federal Territory of Kuala Lumpur</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Advanced Biomedical Engineering Consultants (M) Sdn. Bhd.</w:t>
            </w:r>
          </w:p>
        </w:tc>
      </w:tr>
      <w:tr>
        <w:tc>
          <w:tcPr/>
          <w:p>
            <w:pPr>
              <w:pStyle w:val="Compact"/>
              <w:jc w:val="left"/>
            </w:pPr>
            <w:r>
              <w:t xml:space="preserve">Registration No.</w:t>
            </w:r>
          </w:p>
        </w:tc>
        <w:tc>
          <w:tcPr/>
          <w:p>
            <w:pPr>
              <w:pStyle w:val="Compact"/>
              <w:jc w:val="left"/>
            </w:pPr>
            <w:r>
              <w:t xml:space="preserve">201901045678 (M)</w:t>
            </w:r>
          </w:p>
        </w:tc>
      </w:tr>
      <w:tr>
        <w:tc>
          <w:tcPr/>
          <w:p>
            <w:pPr>
              <w:pStyle w:val="Compact"/>
              <w:jc w:val="left"/>
            </w:pPr>
            <w:r>
              <w:t xml:space="preserve">Address</w:t>
            </w:r>
          </w:p>
        </w:tc>
        <w:tc>
          <w:tcPr/>
          <w:p>
            <w:pPr>
              <w:pStyle w:val="Compact"/>
              <w:jc w:val="left"/>
            </w:pPr>
            <w:r>
              <w:t xml:space="preserve">Suite 8-04, Level 8, The Exchange TRX, Persiaran TRX 2, 55188 Malaysia Kuala Lumpur</w:t>
            </w:r>
          </w:p>
        </w:tc>
      </w:tr>
      <w:tr>
        <w:tc>
          <w:tcPr/>
          <w:p>
            <w:pPr>
              <w:pStyle w:val="Compact"/>
              <w:jc w:val="left"/>
            </w:pPr>
            <w:r>
              <w:t xml:space="preserve">Contact Person</w:t>
            </w:r>
          </w:p>
        </w:tc>
        <w:tc>
          <w:tcPr/>
          <w:p>
            <w:pPr>
              <w:pStyle w:val="Compact"/>
              <w:jc w:val="left"/>
            </w:pPr>
            <w:r>
              <w:t xml:space="preserve">Dr. Aisyah Rahman, Senior Biomedical Engineer</w:t>
            </w:r>
          </w:p>
        </w:tc>
      </w:tr>
      <w:tr>
        <w:tc>
          <w:tcPr/>
          <w:p>
            <w:pPr>
              <w:pStyle w:val="Compact"/>
              <w:jc w:val="left"/>
            </w:pPr>
            <w:r>
              <w:t xml:space="preserve">Email</w:t>
            </w:r>
          </w:p>
        </w:tc>
        <w:tc>
          <w:tcPr/>
          <w:p>
            <w:pPr>
              <w:pStyle w:val="Compact"/>
              <w:jc w:val="left"/>
            </w:pPr>
            <w:r>
              <w:t xml:space="preserve">procurement@abec-consultants.my</w:t>
            </w:r>
          </w:p>
        </w:tc>
      </w:tr>
      <w:tr>
        <w:tc>
          <w:tcPr/>
          <w:p>
            <w:pPr>
              <w:pStyle w:val="Compact"/>
              <w:jc w:val="left"/>
            </w:pPr>
            <w:r>
              <w:t xml:space="preserve">Phone</w:t>
            </w:r>
          </w:p>
        </w:tc>
        <w:tc>
          <w:tcPr/>
          <w:p>
            <w:pPr>
              <w:pStyle w:val="Compact"/>
              <w:jc w:val="left"/>
            </w:pPr>
            <w:r>
              <w:t xml:space="preserve">+60 3-2145 6789</w:t>
            </w:r>
          </w:p>
        </w:tc>
      </w:tr>
    </w:tbl>
    <w:p>
      <w:pPr>
        <w:pStyle w:val="BodyText"/>
      </w:pPr>
      <w:r>
        <w:t xml:space="preserve">2. Scope of Purchase Order – Biomedical Engineer Services</w:t>
      </w:r>
    </w:p>
    <w:p>
      <w:pPr>
        <w:pStyle w:val="BodyText"/>
      </w:pPr>
      <w:r>
        <w:t xml:space="preserve">This Purchase Order is issued by MedTech Solutions Sdn. Bhd. to procure the professional services of a qualified</w:t>
      </w:r>
      <w:r>
        <w:t xml:space="preserve"> </w:t>
      </w:r>
      <w:r>
        <w:t xml:space="preserve">Biomedical Engineer</w:t>
      </w:r>
      <w:r>
        <w:t xml:space="preserve"> </w:t>
      </w:r>
      <w:r>
        <w:t xml:space="preserve">along with associated equipment and calibration tools. The engagement is specifically tailored to support the medical device maintenance, installation, and regulatory compliance programmes of hospitals and clinics operating within</w:t>
      </w:r>
      <w:r>
        <w:t xml:space="preserve"> </w:t>
      </w:r>
      <w:r>
        <w:t xml:space="preserve">Malaysia Kuala Lumpur</w:t>
      </w:r>
      <w:r>
        <w:t xml:space="preserve">. The Biomedical Engineer shall be responsible for the full lifecycle management of diagnostic and therapeutic equipment, including but not limited to MRI scanners, CT imaging systems, patient monitors, ventilators, and laboratory analyzers deployed across the Malaysia Kuala Lumpur metropolitan healthcare network.</w:t>
      </w:r>
    </w:p>
    <w:p>
      <w:pPr>
        <w:pStyle w:val="BodyText"/>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Full-time Biomedical Engineer (Senior) – 12-month contract for equipment maintenance, preventive servicing, and fault diagnosis at 14 hospital sites in Malaysia Kuala Lumpur</w:t>
            </w:r>
          </w:p>
        </w:tc>
        <w:tc>
          <w:tcPr/>
          <w:p>
            <w:pPr>
              <w:pStyle w:val="Compact"/>
              <w:jc w:val="left"/>
            </w:pPr>
            <w:r>
              <w:t xml:space="preserve">1</w:t>
            </w:r>
          </w:p>
        </w:tc>
        <w:tc>
          <w:tcPr/>
          <w:p>
            <w:pPr>
              <w:pStyle w:val="Compact"/>
              <w:jc w:val="left"/>
            </w:pPr>
            <w:r>
              <w:t xml:space="preserve">288,000.00</w:t>
            </w:r>
          </w:p>
        </w:tc>
        <w:tc>
          <w:tcPr/>
          <w:p>
            <w:pPr>
              <w:pStyle w:val="Compact"/>
              <w:jc w:val="left"/>
            </w:pPr>
            <w:r>
              <w:t xml:space="preserve">288,000.00</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Biomedical Engineer (Mid-Level) – 12-month contract for calibration, testing, and regulatory documentation support across Malaysia Kuala Lumpur clinics</w:t>
            </w:r>
          </w:p>
        </w:tc>
        <w:tc>
          <w:tcPr/>
          <w:p>
            <w:pPr>
              <w:pStyle w:val="Compact"/>
              <w:jc w:val="left"/>
            </w:pPr>
            <w:r>
              <w:t xml:space="preserve">2</w:t>
            </w:r>
          </w:p>
        </w:tc>
        <w:tc>
          <w:tcPr/>
          <w:p>
            <w:pPr>
              <w:pStyle w:val="Compact"/>
              <w:jc w:val="left"/>
            </w:pPr>
            <w:r>
              <w:t xml:space="preserve">192,000.00</w:t>
            </w:r>
          </w:p>
        </w:tc>
        <w:tc>
          <w:tcPr/>
          <w:p>
            <w:pPr>
              <w:pStyle w:val="Compact"/>
              <w:jc w:val="left"/>
            </w:pPr>
            <w:r>
              <w:t xml:space="preserve">384,000.00</w:t>
            </w:r>
          </w:p>
        </w:tc>
        <w:tc>
          <w:tcPr/>
          <w:p>
            <w:pPr>
              <w:pStyle w:val="Compact"/>
              <w:jc w:val="left"/>
            </w:pPr>
            <w:r>
              <w:t xml:space="preserve">1 July 2025</w:t>
            </w:r>
          </w:p>
        </w:tc>
      </w:tr>
      <w:tr>
        <w:tc>
          <w:tcPr/>
          <w:p>
            <w:pPr>
              <w:pStyle w:val="Compact"/>
              <w:jc w:val="left"/>
            </w:pPr>
            <w:r>
              <w:t xml:space="preserve">3</w:t>
            </w:r>
          </w:p>
        </w:tc>
        <w:tc>
          <w:tcPr/>
          <w:p>
            <w:pPr>
              <w:pStyle w:val="Compact"/>
              <w:jc w:val="left"/>
            </w:pPr>
            <w:r>
              <w:t xml:space="preserve">Calibration and test equipment kit (multimeters, oscilloscopes, patient simulator, ECG analyzer) for Biomedical Engineer field operations in Malaysia Kuala Lumpur</w:t>
            </w:r>
          </w:p>
        </w:tc>
        <w:tc>
          <w:tcPr/>
          <w:p>
            <w:pPr>
              <w:pStyle w:val="Compact"/>
              <w:jc w:val="left"/>
            </w:pPr>
            <w:r>
              <w:t xml:space="preserve">3</w:t>
            </w:r>
          </w:p>
        </w:tc>
        <w:tc>
          <w:tcPr/>
          <w:p>
            <w:pPr>
              <w:pStyle w:val="Compact"/>
              <w:jc w:val="left"/>
            </w:pPr>
            <w:r>
              <w:t xml:space="preserve">45,500.00</w:t>
            </w:r>
          </w:p>
        </w:tc>
        <w:tc>
          <w:tcPr/>
          <w:p>
            <w:pPr>
              <w:pStyle w:val="Compact"/>
              <w:jc w:val="left"/>
            </w:pPr>
            <w:r>
              <w:t xml:space="preserve">136,500.00</w:t>
            </w:r>
          </w:p>
        </w:tc>
        <w:tc>
          <w:tcPr/>
          <w:p>
            <w:pPr>
              <w:pStyle w:val="Compact"/>
              <w:jc w:val="left"/>
            </w:pPr>
            <w:r>
              <w:t xml:space="preserve">15 July 2025</w:t>
            </w:r>
          </w:p>
        </w:tc>
      </w:tr>
      <w:tr>
        <w:tc>
          <w:tcPr/>
          <w:p>
            <w:pPr>
              <w:pStyle w:val="Compact"/>
              <w:jc w:val="left"/>
            </w:pPr>
            <w:r>
              <w:t xml:space="preserve">4</w:t>
            </w:r>
          </w:p>
        </w:tc>
        <w:tc>
          <w:tcPr/>
          <w:p>
            <w:pPr>
              <w:pStyle w:val="Compact"/>
              <w:jc w:val="left"/>
            </w:pPr>
            <w:r>
              <w:t xml:space="preserve">Regulatory compliance training programme (MDA Malaysia, KKM guidelines) for all Biomedical Engineer staff – 3-day workshop in Malaysia Kuala Lumpur</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30 July 2025</w:t>
            </w:r>
          </w:p>
        </w:tc>
      </w:tr>
      <w:tr>
        <w:tc>
          <w:tcPr/>
          <w:p>
            <w:pPr>
              <w:pStyle w:val="Compact"/>
              <w:jc w:val="left"/>
            </w:pPr>
            <w:r>
              <w:t xml:space="preserve">5</w:t>
            </w:r>
          </w:p>
        </w:tc>
        <w:tc>
          <w:tcPr/>
          <w:p>
            <w:pPr>
              <w:pStyle w:val="Compact"/>
              <w:jc w:val="left"/>
            </w:pPr>
            <w:r>
              <w:t xml:space="preserve">Annual software licence – CMMS (Computerized Maintenance Management System) for Biomedical Engineer asset tracking, 15 user seats</w:t>
            </w:r>
          </w:p>
        </w:tc>
        <w:tc>
          <w:tcPr/>
          <w:p>
            <w:pPr>
              <w:pStyle w:val="Compact"/>
              <w:jc w:val="left"/>
            </w:pPr>
            <w:r>
              <w:t xml:space="preserve">1</w:t>
            </w:r>
          </w:p>
        </w:tc>
        <w:tc>
          <w:tcPr/>
          <w:p>
            <w:pPr>
              <w:pStyle w:val="Compact"/>
              <w:jc w:val="left"/>
            </w:pPr>
            <w:r>
              <w:t xml:space="preserve">32,400.00</w:t>
            </w:r>
          </w:p>
        </w:tc>
        <w:tc>
          <w:tcPr/>
          <w:p>
            <w:pPr>
              <w:pStyle w:val="Compact"/>
              <w:jc w:val="left"/>
            </w:pPr>
            <w:r>
              <w:t xml:space="preserve">32,400.00</w:t>
            </w:r>
          </w:p>
        </w:tc>
        <w:tc>
          <w:tcPr/>
          <w:p>
            <w:pPr>
              <w:pStyle w:val="Compact"/>
              <w:jc w:val="left"/>
            </w:pPr>
            <w:r>
              <w:t xml:space="preserve">1 July 2025</w:t>
            </w:r>
          </w:p>
        </w:tc>
      </w:tr>
      <w:tr>
        <w:tc>
          <w:tcPr/>
          <w:p>
            <w:pPr>
              <w:pStyle w:val="Compact"/>
              <w:jc w:val="left"/>
            </w:pPr>
            <w:r>
              <w:t xml:space="preserve">6</w:t>
            </w:r>
          </w:p>
        </w:tc>
        <w:tc>
          <w:tcPr/>
          <w:p>
            <w:pPr>
              <w:pStyle w:val="Compact"/>
              <w:jc w:val="left"/>
            </w:pPr>
            <w:r>
              <w:t xml:space="preserve">Transportation and field service vehicle (2 units) for Biomedical Engineer mobile maintenance teams operating in Malaysia Kuala Lumpur and surrounding districts</w:t>
            </w:r>
          </w:p>
        </w:tc>
        <w:tc>
          <w:tcPr/>
          <w:p>
            <w:pPr>
              <w:pStyle w:val="Compact"/>
              <w:jc w:val="left"/>
            </w:pPr>
            <w:r>
              <w:t xml:space="preserve">2</w:t>
            </w:r>
          </w:p>
        </w:tc>
        <w:tc>
          <w:tcPr/>
          <w:p>
            <w:pPr>
              <w:pStyle w:val="Compact"/>
              <w:jc w:val="left"/>
            </w:pPr>
            <w:r>
              <w:t xml:space="preserve">89,000.00</w:t>
            </w:r>
          </w:p>
        </w:tc>
        <w:tc>
          <w:tcPr/>
          <w:p>
            <w:pPr>
              <w:pStyle w:val="Compact"/>
              <w:jc w:val="left"/>
            </w:pPr>
            <w:r>
              <w:t xml:space="preserve">178,000.00</w:t>
            </w:r>
          </w:p>
        </w:tc>
        <w:tc>
          <w:tcPr/>
          <w:p>
            <w:pPr>
              <w:pStyle w:val="Compact"/>
              <w:jc w:val="left"/>
            </w:pPr>
            <w:r>
              <w:t xml:space="preserve">20 July 2025</w:t>
            </w:r>
          </w:p>
        </w:tc>
      </w:tr>
      <w:tr>
        <w:tc>
          <w:tcPr>
            <w:gridSpan w:val="4"/>
          </w:tcPr>
          <w:p>
            <w:pPr>
              <w:pStyle w:val="Compact"/>
              <w:jc w:val="left"/>
            </w:pPr>
            <w:r>
              <w:t xml:space="preserve">TOTAL AMOUNT (MYR)</w:t>
            </w:r>
          </w:p>
        </w:tc>
        <w:tc>
          <w:tcPr/>
          <w:p>
            <w:pPr>
              <w:pStyle w:val="Compact"/>
              <w:jc w:val="left"/>
            </w:pPr>
            <w:r>
              <w:t xml:space="preserve">1,037,650.00</w:t>
            </w:r>
          </w:p>
        </w:tc>
        <w:tc>
          <w:tcPr/>
          <w:p>
            <w:pPr>
              <w:pStyle w:val="Compact"/>
            </w:pPr>
          </w:p>
        </w:tc>
      </w:tr>
      <w:tr>
        <w:tc>
          <w:tcPr>
            <w:gridSpan w:val="4"/>
          </w:tcPr>
          <w:p>
            <w:pPr>
              <w:pStyle w:val="Compact"/>
              <w:jc w:val="left"/>
            </w:pPr>
            <w:r>
              <w:t xml:space="preserve">SST (6%)</w:t>
            </w:r>
          </w:p>
        </w:tc>
        <w:tc>
          <w:tcPr/>
          <w:p>
            <w:pPr>
              <w:pStyle w:val="Compact"/>
              <w:jc w:val="left"/>
            </w:pPr>
            <w:r>
              <w:t xml:space="preserve">62,259.00</w:t>
            </w:r>
          </w:p>
        </w:tc>
        <w:tc>
          <w:tcPr/>
          <w:p>
            <w:pPr>
              <w:pStyle w:val="Compact"/>
            </w:pPr>
          </w:p>
        </w:tc>
      </w:tr>
      <w:tr>
        <w:tc>
          <w:tcPr>
            <w:gridSpan w:val="4"/>
          </w:tcPr>
          <w:p>
            <w:pPr>
              <w:pStyle w:val="Compact"/>
              <w:jc w:val="left"/>
            </w:pPr>
            <w:r>
              <w:t xml:space="preserve">GRAND TOTAL (MYR)</w:t>
            </w:r>
          </w:p>
        </w:tc>
        <w:tc>
          <w:tcPr/>
          <w:p>
            <w:pPr>
              <w:pStyle w:val="Compact"/>
              <w:jc w:val="left"/>
            </w:pPr>
            <w:r>
              <w:t xml:space="preserve">1,099,909.00</w:t>
            </w:r>
          </w:p>
        </w:tc>
        <w:tc>
          <w:tcPr/>
          <w:p>
            <w:pPr>
              <w:pStyle w:val="Compact"/>
            </w:pP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30% advance payment upon acceptance of this Purchase Order; 40% upon completion of the first 6-month service period; 30% upon successful completion of the 12-month contract. All payments shall be made via bank transfer to the supplier's designated account in Malaysia Kuala Lumpur.</w:t>
      </w:r>
    </w:p>
    <w:p>
      <w:pPr>
        <w:numPr>
          <w:ilvl w:val="0"/>
          <w:numId w:val="1001"/>
        </w:numPr>
        <w:pStyle w:val="Compact"/>
      </w:pPr>
      <w:r>
        <w:rPr>
          <w:bCs/>
          <w:b/>
        </w:rPr>
        <w:t xml:space="preserve">Service Location:</w:t>
      </w:r>
      <w:r>
        <w:t xml:space="preserve"> </w:t>
      </w:r>
      <w:r>
        <w:t xml:space="preserve">All Biomedical Engineer services shall be performed at the 14 designated hospital and clinic sites located within the Malaysia Kuala Lumpur metropolitan area, including but not limited to sites in Bangsar, Mont Kiara, Cheras, and Petaling Jaya.</w:t>
      </w:r>
    </w:p>
    <w:p>
      <w:pPr>
        <w:numPr>
          <w:ilvl w:val="0"/>
          <w:numId w:val="1001"/>
        </w:numPr>
        <w:pStyle w:val="Compact"/>
      </w:pPr>
      <w:r>
        <w:rPr>
          <w:bCs/>
          <w:b/>
        </w:rPr>
        <w:t xml:space="preserve">Compliance:</w:t>
      </w:r>
      <w:r>
        <w:t xml:space="preserve"> </w:t>
      </w:r>
      <w:r>
        <w:t xml:space="preserve">The Biomedical Engineer and all supporting staff must hold valid registration with the Malaysian Medical Device Authority (MDA) and comply with all regulations set forth by the Ministry of Health Malaysia (KKM) applicable to medical device maintenance in Malaysia Kuala Lumpur.</w:t>
      </w:r>
    </w:p>
    <w:p>
      <w:pPr>
        <w:numPr>
          <w:ilvl w:val="0"/>
          <w:numId w:val="1001"/>
        </w:numPr>
        <w:pStyle w:val="Compact"/>
      </w:pPr>
      <w:r>
        <w:rPr>
          <w:bCs/>
          <w:b/>
        </w:rPr>
        <w:t xml:space="preserve">Performance Standards:</w:t>
      </w:r>
      <w:r>
        <w:t xml:space="preserve"> </w:t>
      </w:r>
      <w:r>
        <w:t xml:space="preserve">The Biomedical Engineer shall respond to critical equipment failures within 4 hours and complete non-critical maintenance within 48 hours. Monthly performance reports shall be submitted to the procurement officer at MedTech Solutions Sdn. Bhd., Malaysia Kuala Lumpur office.</w:t>
      </w:r>
    </w:p>
    <w:p>
      <w:pPr>
        <w:numPr>
          <w:ilvl w:val="0"/>
          <w:numId w:val="1001"/>
        </w:numPr>
        <w:pStyle w:val="Compact"/>
      </w:pPr>
      <w:r>
        <w:rPr>
          <w:bCs/>
          <w:b/>
        </w:rPr>
        <w:t xml:space="preserve">Warranty:</w:t>
      </w:r>
      <w:r>
        <w:t xml:space="preserve"> </w:t>
      </w:r>
      <w:r>
        <w:t xml:space="preserve">All equipment and calibration tools delivered under this Purchase Order carry a minimum 24-month manufacturer warranty. The Biomedical Engineer shall ensure all warranty documentation is maintained on file.</w:t>
      </w:r>
    </w:p>
    <w:p>
      <w:pPr>
        <w:numPr>
          <w:ilvl w:val="0"/>
          <w:numId w:val="1001"/>
        </w:numPr>
        <w:pStyle w:val="Compact"/>
      </w:pPr>
      <w:r>
        <w:rPr>
          <w:bCs/>
          <w:b/>
        </w:rPr>
        <w:t xml:space="preserve">Confidentiality:</w:t>
      </w:r>
      <w:r>
        <w:t xml:space="preserve"> </w:t>
      </w:r>
      <w:r>
        <w:t xml:space="preserve">The Biomedical Engineer and all personnel engaged under this Purchase Order shall maintain strict confidentiality regarding patient data, hospital operational information, and proprietary medical device configurations encountered during service in Malaysia Kuala Lumpur.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Biomedical Engineer shall complete all in-progress maintenance tasks and hand over all documentation and equipment to MedTech Solutions Sdn. Bhd.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Any disputes shall be resolved through arbitration in Malaysia Kuala Lumpur in accordance with the rules of the Asian International Arbitration Centre (AIAC).</w:t>
      </w:r>
    </w:p>
    <w:p>
      <w:pPr>
        <w:pStyle w:val="FirstParagraph"/>
      </w:pPr>
      <w:r>
        <w:t xml:space="preserve">5. Delivery and Acceptance</w:t>
      </w:r>
    </w:p>
    <w:p>
      <w:pPr>
        <w:pStyle w:val="BodyText"/>
      </w:pPr>
      <w:r>
        <w:t xml:space="preserve">All physical goods (calibration equipment, vehicles, software media) shall be delivered to the MedTech Solutions Sdn. Bhd. warehouse at Level 12, Menara Maxis, Jalan Tun Razak, 50400 Malaysia Kuala Lumpur. The Biomedical Engineer services shall commence on 1 July 2025. Acceptance of goods and services shall be confirmed in writing by the authorized representative of MedTech Solutions Sdn. Bhd. within 14 business days of delivery or completion.</w:t>
      </w:r>
    </w:p>
    <w:p>
      <w:pPr>
        <w:pStyle w:val="BodyText"/>
      </w:pPr>
      <w:r>
        <w:t xml:space="preserve">6. Authorization and Signatures</w:t>
      </w:r>
    </w:p>
    <w:p>
      <w:pPr>
        <w:pStyle w:val="BodyText"/>
      </w:pPr>
      <w:r>
        <w:rPr>
          <w:bCs/>
          <w:b/>
        </w:rPr>
        <w:t xml:space="preserve">For and on behalf of MedTech Solutions Sdn. Bhd. (Buyer)</w:t>
      </w:r>
      <w:r>
        <w:br/>
      </w:r>
      <w:r>
        <w:t xml:space="preserve">Name: Tan Wei Ming</w:t>
      </w:r>
      <w:r>
        <w:br/>
      </w:r>
      <w:r>
        <w:t xml:space="preserve">Title: Chief Procurement Officer</w:t>
      </w:r>
      <w:r>
        <w:br/>
      </w:r>
      <w:r>
        <w:t xml:space="preserve">Date: 14 June 2025</w:t>
      </w:r>
    </w:p>
    <w:p>
      <w:pPr>
        <w:pStyle w:val="BodyText"/>
      </w:pPr>
      <w:r>
        <w:rPr>
          <w:bCs/>
          <w:b/>
        </w:rPr>
        <w:t xml:space="preserve">For and on behalf of Advanced Biomedical Engineering Consultants (M) Sdn. Bhd. (Supplier)</w:t>
      </w:r>
      <w:r>
        <w:br/>
      </w:r>
      <w:r>
        <w:t xml:space="preserve">Name: Dr. Aisyah Rahman</w:t>
      </w:r>
      <w:r>
        <w:br/>
      </w:r>
      <w:r>
        <w:t xml:space="preserve">Title: Managing Director / Senior Biomedical Engineer</w:t>
      </w:r>
      <w:r>
        <w:br/>
      </w:r>
      <w:r>
        <w:t xml:space="preserve">Date: 14 June 2025</w:t>
      </w:r>
    </w:p>
    <w:p>
      <w:pPr>
        <w:pStyle w:val="BodyText"/>
      </w:pPr>
      <w:r>
        <w:t xml:space="preserve">This Purchase Order (PO-BME-KL-2025-04782) is a legally binding document issued by MedTech Solutions Sdn. Bhd., Malaysia Kuala Lumpur. It governs the procurement of Biomedical Engineer professional services and associated equipment. Unauthorized reproduction or distribution of this Purchase Order is strictly prohibited. For queries, contact the Procurement Department at procurement@medtech-solutions.my,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Malaysia Kuala Lumpur</dc:title>
  <dc:creator/>
  <dc:language>en</dc:language>
  <cp:keywords/>
  <dcterms:created xsi:type="dcterms:W3CDTF">2026-10-10T03:42:34Z</dcterms:created>
  <dcterms:modified xsi:type="dcterms:W3CDTF">2026-10-10T03:42:34Z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