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Biomedical Engineering Division — United States Miami Operations</w:t>
      </w:r>
    </w:p>
    <w:bookmarkEnd w:id="20"/>
    <w:p>
      <w:pPr>
        <w:pStyle w:val="BodyText"/>
      </w:pPr>
      <w:r>
        <w:rPr>
          <w:bCs/>
          <w:b/>
        </w:rPr>
        <w:t xml:space="preserve">Purchase Order Number:</w:t>
      </w:r>
      <w:r>
        <w:t xml:space="preserve"> </w:t>
      </w:r>
      <w:r>
        <w:t xml:space="preserve">PO-BME-2025-04782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r>
        <w:br/>
      </w:r>
      <w:r>
        <w:rPr>
          <w:bCs/>
          <w:b/>
        </w:rPr>
        <w:t xml:space="preserve">Priority:</w:t>
      </w:r>
      <w:r>
        <w:t xml:space="preserve"> </w:t>
      </w:r>
      <w:r>
        <w:t xml:space="preserve">Standard</w:t>
      </w:r>
    </w:p>
    <w:p>
      <w:pPr>
        <w:pStyle w:val="BodyText"/>
      </w:pPr>
      <w:r>
        <w:rPr>
          <w:bCs/>
          <w:b/>
        </w:rPr>
        <w:t xml:space="preserve">Issuing Entity:</w:t>
      </w:r>
      <w:r>
        <w:t xml:space="preserve"> </w:t>
      </w:r>
      <w:r>
        <w:t xml:space="preserve">South Florida Medical Technology Group, Inc.</w:t>
      </w:r>
      <w:r>
        <w:br/>
      </w:r>
      <w:r>
        <w:rPr>
          <w:bCs/>
          <w:b/>
        </w:rPr>
        <w:t xml:space="preserve">Address:</w:t>
      </w:r>
      <w:r>
        <w:t xml:space="preserve"> </w:t>
      </w:r>
      <w:r>
        <w:t xml:space="preserve">3200 Biscayne Boulevard, Suite 1400</w:t>
      </w:r>
      <w:r>
        <w:br/>
      </w:r>
      <w:r>
        <w:rPr>
          <w:bCs/>
          <w:b/>
        </w:rPr>
        <w:t xml:space="preserve">City/State/ZIP:</w:t>
      </w:r>
      <w:r>
        <w:t xml:space="preserve"> </w:t>
      </w:r>
      <w:r>
        <w:t xml:space="preserve">United States Miami, FL 33137</w:t>
      </w:r>
      <w:r>
        <w:br/>
      </w:r>
      <w:r>
        <w:rPr>
          <w:bCs/>
          <w:b/>
        </w:rPr>
        <w:t xml:space="preserve">Contact:</w:t>
      </w:r>
      <w:r>
        <w:t xml:space="preserve"> </w:t>
      </w:r>
      <w:r>
        <w:t xml:space="preserve">procurement@sfmedtech.com</w:t>
      </w:r>
    </w:p>
    <w:p>
      <w:pPr>
        <w:pStyle w:val="BodyText"/>
      </w:pPr>
      <w:r>
        <w:t xml:space="preserve">VENDOR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Vendor Name</w:t>
            </w:r>
          </w:p>
        </w:tc>
        <w:tc>
          <w:tcPr/>
          <w:p>
            <w:pPr>
              <w:pStyle w:val="Compact"/>
              <w:jc w:val="left"/>
            </w:pPr>
            <w:r>
              <w:t xml:space="preserve">Apex Biomedical Consulting Partners, LLC</w:t>
            </w:r>
          </w:p>
        </w:tc>
      </w:tr>
      <w:tr>
        <w:tc>
          <w:tcPr/>
          <w:p>
            <w:pPr>
              <w:pStyle w:val="Compact"/>
              <w:jc w:val="left"/>
            </w:pPr>
            <w:r>
              <w:t xml:space="preserve">Vendor Address</w:t>
            </w:r>
          </w:p>
        </w:tc>
        <w:tc>
          <w:tcPr/>
          <w:p>
            <w:pPr>
              <w:pStyle w:val="Compact"/>
              <w:jc w:val="left"/>
            </w:pPr>
            <w:r>
              <w:t xml:space="preserve">1850 NW 27th Avenue, Suite 500, United States Miami, FL 33142</w:t>
            </w:r>
          </w:p>
        </w:tc>
      </w:tr>
      <w:tr>
        <w:tc>
          <w:tcPr/>
          <w:p>
            <w:pPr>
              <w:pStyle w:val="Compact"/>
              <w:jc w:val="left"/>
            </w:pPr>
            <w:r>
              <w:t xml:space="preserve">Vendor Contact</w:t>
            </w:r>
          </w:p>
        </w:tc>
        <w:tc>
          <w:tcPr/>
          <w:p>
            <w:pPr>
              <w:pStyle w:val="Compact"/>
              <w:jc w:val="left"/>
            </w:pPr>
            <w:r>
              <w:t xml:space="preserve">Dr. Elena Vasquez, Director of Engineering Services</w:t>
            </w:r>
          </w:p>
        </w:tc>
      </w:tr>
      <w:tr>
        <w:tc>
          <w:tcPr/>
          <w:p>
            <w:pPr>
              <w:pStyle w:val="Compact"/>
              <w:jc w:val="left"/>
            </w:pPr>
            <w:r>
              <w:t xml:space="preserve">Vendor Phone</w:t>
            </w:r>
          </w:p>
        </w:tc>
        <w:tc>
          <w:tcPr/>
          <w:p>
            <w:pPr>
              <w:pStyle w:val="Compact"/>
              <w:jc w:val="left"/>
            </w:pPr>
            <w:r>
              <w:t xml:space="preserve">(305) 555-0198</w:t>
            </w:r>
          </w:p>
        </w:tc>
      </w:tr>
      <w:tr>
        <w:tc>
          <w:tcPr/>
          <w:p>
            <w:pPr>
              <w:pStyle w:val="Compact"/>
              <w:jc w:val="left"/>
            </w:pPr>
            <w:r>
              <w:t xml:space="preserve">Vendor Email</w:t>
            </w:r>
          </w:p>
        </w:tc>
        <w:tc>
          <w:tcPr/>
          <w:p>
            <w:pPr>
              <w:pStyle w:val="Compact"/>
              <w:jc w:val="left"/>
            </w:pPr>
            <w:r>
              <w:t xml:space="preserve">e.vasquez@apexbiomed.com</w:t>
            </w:r>
          </w:p>
        </w:tc>
      </w:tr>
      <w:tr>
        <w:tc>
          <w:tcPr/>
          <w:p>
            <w:pPr>
              <w:pStyle w:val="Compact"/>
              <w:jc w:val="left"/>
            </w:pPr>
            <w:r>
              <w:t xml:space="preserve">Tax ID / EIN</w:t>
            </w:r>
          </w:p>
        </w:tc>
        <w:tc>
          <w:tcPr/>
          <w:p>
            <w:pPr>
              <w:pStyle w:val="Compact"/>
              <w:jc w:val="left"/>
            </w:pPr>
            <w:r>
              <w:t xml:space="preserve">82-4471903</w:t>
            </w:r>
          </w:p>
        </w:tc>
      </w:tr>
      <w:tr>
        <w:tc>
          <w:tcPr/>
          <w:p>
            <w:pPr>
              <w:pStyle w:val="Compact"/>
              <w:jc w:val="left"/>
            </w:pPr>
            <w:r>
              <w:t xml:space="preserve">W-9 on File</w:t>
            </w:r>
          </w:p>
        </w:tc>
        <w:tc>
          <w:tcPr/>
          <w:p>
            <w:pPr>
              <w:pStyle w:val="Compact"/>
              <w:jc w:val="left"/>
            </w:pPr>
            <w:r>
              <w:t xml:space="preserve">Yes — Received March 2025</w:t>
            </w:r>
          </w:p>
        </w:tc>
      </w:tr>
    </w:tbl>
    <w:p>
      <w:pPr>
        <w:pStyle w:val="BodyText"/>
      </w:pPr>
      <w:r>
        <w:t xml:space="preserve">DESCRIPTION OF SERVICES — BIOMEDICAL ENGINEER</w:t>
      </w:r>
    </w:p>
    <w:p>
      <w:pPr>
        <w:pStyle w:val="BodyText"/>
      </w:pPr>
      <w:r>
        <w:t xml:space="preserve">This</w:t>
      </w:r>
      <w:r>
        <w:t xml:space="preserve"> </w:t>
      </w:r>
      <w:r>
        <w:t xml:space="preserve">Purchase Order</w:t>
      </w:r>
      <w:r>
        <w:t xml:space="preserve"> </w:t>
      </w:r>
      <w:r>
        <w:t xml:space="preserve">authorizes the engagement of a qualified</w:t>
      </w:r>
      <w:r>
        <w:t xml:space="preserve"> </w:t>
      </w:r>
      <w:r>
        <w:t xml:space="preserve">Biomedical Engineer</w:t>
      </w:r>
      <w:r>
        <w:t xml:space="preserve"> </w:t>
      </w:r>
      <w:r>
        <w:t xml:space="preserve">to provide specialized technical services to South Florida Medical Technology Group, Inc. The</w:t>
      </w:r>
      <w:r>
        <w:t xml:space="preserve"> </w:t>
      </w:r>
      <w:r>
        <w:t xml:space="preserve">Biomedical Engineer</w:t>
      </w:r>
      <w:r>
        <w:t xml:space="preserve"> </w:t>
      </w:r>
      <w:r>
        <w:t xml:space="preserve">shall be responsible for the design, validation, testing, and regulatory compliance of medical device systems deployed across our clinical facilities in</w:t>
      </w:r>
      <w:r>
        <w:t xml:space="preserve"> </w:t>
      </w:r>
      <w:r>
        <w:t xml:space="preserve">United States Miami</w:t>
      </w:r>
      <w:r>
        <w:t xml:space="preserve">. The scope of work encompasses the following deliverables and professional obligations as outlined in the line items below.</w:t>
      </w:r>
    </w:p>
    <w:p>
      <w:pPr>
        <w:pStyle w:val="BodyText"/>
      </w:pPr>
      <w:r>
        <w:t xml:space="preserve">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1</w:t>
            </w:r>
          </w:p>
        </w:tc>
        <w:tc>
          <w:tcPr/>
          <w:p>
            <w:pPr>
              <w:pStyle w:val="Compact"/>
              <w:jc w:val="left"/>
            </w:pPr>
            <w:r>
              <w:t xml:space="preserve">Biomedical Engineer — Senior Level: Design and prototyping of a next-generation patient monitoring system for cardiac telemetry. Includes FEA simulation, PCB layout review, and firmware integration. On-site work at United States Miami facility.</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Biomedical Engineer — Regulatory Compliance: Preparation and submission of FDA 510(k) premarket notification documentation for the cardiac telemetry device. Includes risk analysis per ISO 14971 and biocompatibility testing coordination.</w:t>
            </w:r>
          </w:p>
        </w:tc>
        <w:tc>
          <w:tcPr/>
          <w:p>
            <w:pPr>
              <w:pStyle w:val="Compact"/>
              <w:jc w:val="left"/>
            </w:pPr>
            <w:r>
              <w:t xml:space="preserve">80</w:t>
            </w:r>
          </w:p>
        </w:tc>
        <w:tc>
          <w:tcPr/>
          <w:p>
            <w:pPr>
              <w:pStyle w:val="Compact"/>
              <w:jc w:val="left"/>
            </w:pPr>
            <w:r>
              <w:t xml:space="preserve">Hours</w:t>
            </w:r>
          </w:p>
        </w:tc>
        <w:tc>
          <w:tcPr/>
          <w:p>
            <w:pPr>
              <w:pStyle w:val="Compact"/>
              <w:jc w:val="left"/>
            </w:pPr>
            <w:r>
              <w:t xml:space="preserve">$210.00</w:t>
            </w:r>
          </w:p>
        </w:tc>
        <w:tc>
          <w:tcPr/>
          <w:p>
            <w:pPr>
              <w:pStyle w:val="Compact"/>
              <w:jc w:val="left"/>
            </w:pPr>
            <w:r>
              <w:t xml:space="preserve">$16,800.00</w:t>
            </w:r>
          </w:p>
        </w:tc>
      </w:tr>
      <w:tr>
        <w:tc>
          <w:tcPr/>
          <w:p>
            <w:pPr>
              <w:pStyle w:val="Compact"/>
              <w:jc w:val="left"/>
            </w:pPr>
            <w:r>
              <w:t xml:space="preserve">3</w:t>
            </w:r>
          </w:p>
        </w:tc>
        <w:tc>
          <w:tcPr/>
          <w:p>
            <w:pPr>
              <w:pStyle w:val="Compact"/>
              <w:jc w:val="left"/>
            </w:pPr>
            <w:r>
              <w:t xml:space="preserve">Biomedical Engineer — Clinical Validation: Conducting in-vivo and in-vitro validation studies at partner hospitals in United States Miami. Includes IRB coordination, data collection protocols, and statistical analysis of performance metrics.</w:t>
            </w:r>
          </w:p>
        </w:tc>
        <w:tc>
          <w:tcPr/>
          <w:p>
            <w:pPr>
              <w:pStyle w:val="Compact"/>
              <w:jc w:val="left"/>
            </w:pPr>
            <w:r>
              <w:t xml:space="preserve">100</w:t>
            </w:r>
          </w:p>
        </w:tc>
        <w:tc>
          <w:tcPr/>
          <w:p>
            <w:pPr>
              <w:pStyle w:val="Compact"/>
              <w:jc w:val="left"/>
            </w:pPr>
            <w:r>
              <w:t xml:space="preserve">Hours</w:t>
            </w:r>
          </w:p>
        </w:tc>
        <w:tc>
          <w:tcPr/>
          <w:p>
            <w:pPr>
              <w:pStyle w:val="Compact"/>
              <w:jc w:val="left"/>
            </w:pPr>
            <w:r>
              <w:t xml:space="preserve">$195.00</w:t>
            </w:r>
          </w:p>
        </w:tc>
        <w:tc>
          <w:tcPr/>
          <w:p>
            <w:pPr>
              <w:pStyle w:val="Compact"/>
              <w:jc w:val="left"/>
            </w:pPr>
            <w:r>
              <w:t xml:space="preserve">$19,500.00</w:t>
            </w:r>
          </w:p>
        </w:tc>
      </w:tr>
      <w:tr>
        <w:tc>
          <w:tcPr/>
          <w:p>
            <w:pPr>
              <w:pStyle w:val="Compact"/>
              <w:jc w:val="left"/>
            </w:pPr>
            <w:r>
              <w:t xml:space="preserve">4</w:t>
            </w:r>
          </w:p>
        </w:tc>
        <w:tc>
          <w:tcPr/>
          <w:p>
            <w:pPr>
              <w:pStyle w:val="Compact"/>
              <w:jc w:val="left"/>
            </w:pPr>
            <w:r>
              <w:t xml:space="preserve">Biomedical Engineer — Maintenance &amp; Calibration: Quarterly calibration and preventive maintenance of existing biomedical equipment inventory (ultrasound units, ECG machines, infusion pumps) across three United States Miami clinical sites.</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$4,750.00</w:t>
            </w:r>
          </w:p>
        </w:tc>
        <w:tc>
          <w:tcPr/>
          <w:p>
            <w:pPr>
              <w:pStyle w:val="Compact"/>
              <w:jc w:val="left"/>
            </w:pPr>
            <w:r>
              <w:t xml:space="preserve">$19,000.00</w:t>
            </w:r>
          </w:p>
        </w:tc>
      </w:tr>
      <w:tr>
        <w:tc>
          <w:tcPr/>
          <w:p>
            <w:pPr>
              <w:pStyle w:val="Compact"/>
              <w:jc w:val="left"/>
            </w:pPr>
            <w:r>
              <w:t xml:space="preserve">5</w:t>
            </w:r>
          </w:p>
        </w:tc>
        <w:tc>
          <w:tcPr/>
          <w:p>
            <w:pPr>
              <w:pStyle w:val="Compact"/>
              <w:jc w:val="left"/>
            </w:pPr>
            <w:r>
              <w:t xml:space="preserve">Biomedical Engineer — Training &amp; Documentation: Development of comprehensive Standard Operating Procedures (SOPs), user manuals, and on-site training sessions for clinical staff on new and existing biomedical equipment.</w:t>
            </w:r>
          </w:p>
        </w:tc>
        <w:tc>
          <w:tcPr/>
          <w:p>
            <w:pPr>
              <w:pStyle w:val="Compact"/>
              <w:jc w:val="left"/>
            </w:pPr>
            <w:r>
              <w:t xml:space="preserve">30</w:t>
            </w:r>
          </w:p>
        </w:tc>
        <w:tc>
          <w:tcPr/>
          <w:p>
            <w:pPr>
              <w:pStyle w:val="Compact"/>
              <w:jc w:val="left"/>
            </w:pPr>
            <w:r>
              <w:t xml:space="preserve">Hours</w:t>
            </w:r>
          </w:p>
        </w:tc>
        <w:tc>
          <w:tcPr/>
          <w:p>
            <w:pPr>
              <w:pStyle w:val="Compact"/>
              <w:jc w:val="left"/>
            </w:pPr>
            <w:r>
              <w:t xml:space="preserve">$165.00</w:t>
            </w:r>
          </w:p>
        </w:tc>
        <w:tc>
          <w:tcPr/>
          <w:p>
            <w:pPr>
              <w:pStyle w:val="Compact"/>
              <w:jc w:val="left"/>
            </w:pPr>
            <w:r>
              <w:t xml:space="preserve">$4,950.00</w:t>
            </w:r>
          </w:p>
        </w:tc>
      </w:tr>
      <w:tr>
        <w:tc>
          <w:tcPr/>
          <w:p>
            <w:pPr>
              <w:pStyle w:val="Compact"/>
              <w:jc w:val="left"/>
            </w:pPr>
            <w:r>
              <w:t xml:space="preserve">6</w:t>
            </w:r>
          </w:p>
        </w:tc>
        <w:tc>
          <w:tcPr/>
          <w:p>
            <w:pPr>
              <w:pStyle w:val="Compact"/>
              <w:jc w:val="left"/>
            </w:pPr>
            <w:r>
              <w:t xml:space="preserve">Biomedical Engineer — Project Management &amp; Reporting: Weekly progress reporting, milestone reviews, and coordination with cross-functional teams including clinical directors, quality assurance, and regulatory affairs based in United States Miami.</w:t>
            </w:r>
          </w:p>
        </w:tc>
        <w:tc>
          <w:tcPr/>
          <w:p>
            <w:pPr>
              <w:pStyle w:val="Compact"/>
              <w:jc w:val="left"/>
            </w:pPr>
            <w:r>
              <w:t xml:space="preserve">40</w:t>
            </w:r>
          </w:p>
        </w:tc>
        <w:tc>
          <w:tcPr/>
          <w:p>
            <w:pPr>
              <w:pStyle w:val="Compact"/>
              <w:jc w:val="left"/>
            </w:pPr>
            <w:r>
              <w:t xml:space="preserve">Hours</w:t>
            </w:r>
          </w:p>
        </w:tc>
        <w:tc>
          <w:tcPr/>
          <w:p>
            <w:pPr>
              <w:pStyle w:val="Compact"/>
              <w:jc w:val="left"/>
            </w:pPr>
            <w:r>
              <w:t xml:space="preserve">$175.00</w:t>
            </w:r>
          </w:p>
        </w:tc>
        <w:tc>
          <w:tcPr/>
          <w:p>
            <w:pPr>
              <w:pStyle w:val="Compact"/>
              <w:jc w:val="left"/>
            </w:pPr>
            <w:r>
              <w:t xml:space="preserve">$7,000.00</w:t>
            </w:r>
          </w:p>
        </w:tc>
      </w:tr>
      <w:tr>
        <w:tc>
          <w:tcPr>
            <w:gridSpan w:val="5"/>
          </w:tcPr>
          <w:p>
            <w:pPr>
              <w:pStyle w:val="Compact"/>
              <w:jc w:val="right"/>
            </w:pPr>
            <w:r>
              <w:t xml:space="preserve">SUBTOTAL</w:t>
            </w:r>
          </w:p>
        </w:tc>
        <w:tc>
          <w:tcPr/>
          <w:p>
            <w:pPr>
              <w:pStyle w:val="Compact"/>
              <w:jc w:val="left"/>
            </w:pPr>
            <w:r>
              <w:t xml:space="preserve">$89,450.00</w:t>
            </w:r>
          </w:p>
        </w:tc>
      </w:tr>
      <w:tr>
        <w:tc>
          <w:tcPr>
            <w:gridSpan w:val="5"/>
          </w:tcPr>
          <w:p>
            <w:pPr>
              <w:pStyle w:val="Compact"/>
              <w:jc w:val="right"/>
            </w:pPr>
            <w:r>
              <w:t xml:space="preserve">Applicable Sales Tax (Florida, 6.5%)</w:t>
            </w:r>
          </w:p>
        </w:tc>
        <w:tc>
          <w:tcPr/>
          <w:p>
            <w:pPr>
              <w:pStyle w:val="Compact"/>
              <w:jc w:val="left"/>
            </w:pPr>
            <w:r>
              <w:t xml:space="preserve">$5,814.25</w:t>
            </w:r>
          </w:p>
        </w:tc>
      </w:tr>
      <w:tr>
        <w:tc>
          <w:tcPr>
            <w:gridSpan w:val="5"/>
          </w:tcPr>
          <w:p>
            <w:pPr>
              <w:pStyle w:val="Compact"/>
              <w:jc w:val="right"/>
            </w:pPr>
            <w:r>
              <w:rPr>
                <w:bCs/>
                <w:b/>
              </w:rPr>
              <w:t xml:space="preserve">TOTAL PURCHASE ORDER AMOUNT</w:t>
            </w:r>
          </w:p>
        </w:tc>
        <w:tc>
          <w:tcPr/>
          <w:p>
            <w:pPr>
              <w:pStyle w:val="Compact"/>
              <w:jc w:val="left"/>
            </w:pPr>
            <w:r>
              <w:rPr>
                <w:bCs/>
                <w:b/>
              </w:rPr>
              <w:t xml:space="preserve">$95,264.25</w:t>
            </w:r>
          </w:p>
        </w:tc>
      </w:tr>
    </w:tbl>
    <w:p>
      <w:pPr>
        <w:pStyle w:val="BodyText"/>
      </w:pPr>
      <w:r>
        <w:t xml:space="preserve">TERMS AND CONDITIONS</w:t>
      </w:r>
    </w:p>
    <w:p>
      <w:pPr>
        <w:numPr>
          <w:ilvl w:val="0"/>
          <w:numId w:val="1001"/>
        </w:numPr>
        <w:pStyle w:val="Compact"/>
      </w:pPr>
      <w:r>
        <w:rPr>
          <w:bCs/>
          <w:b/>
        </w:rPr>
        <w:t xml:space="preserve">Acceptance:</w:t>
      </w:r>
      <w:r>
        <w:t xml:space="preserve"> </w:t>
      </w:r>
      <w:r>
        <w:t xml:space="preserve">This Purchase Order constitutes a binding agreement upon written acceptance by the vendor. The vendor must return a signed copy of this Purchase Order within five (5) business days of receipt to confirm acceptance of all terms, conditions, and the scope of Biomedical Engineer services described herein.</w:t>
      </w:r>
    </w:p>
    <w:p>
      <w:pPr>
        <w:numPr>
          <w:ilvl w:val="0"/>
          <w:numId w:val="1001"/>
        </w:numPr>
        <w:pStyle w:val="Compact"/>
      </w:pPr>
      <w:r>
        <w:rPr>
          <w:bCs/>
          <w:b/>
        </w:rPr>
        <w:t xml:space="preserve">Performance Period:</w:t>
      </w:r>
      <w:r>
        <w:t xml:space="preserve"> </w:t>
      </w:r>
      <w:r>
        <w:t xml:space="preserve">The Biomedical Engineer shall commence services no later than July 1, 2025, and shall complete all deliverables by December 15, 2025, unless otherwise extended in writing by mutual agreement of both parties.</w:t>
      </w:r>
    </w:p>
    <w:p>
      <w:pPr>
        <w:numPr>
          <w:ilvl w:val="0"/>
          <w:numId w:val="1001"/>
        </w:numPr>
        <w:pStyle w:val="Compact"/>
      </w:pPr>
      <w:r>
        <w:rPr>
          <w:bCs/>
          <w:b/>
        </w:rPr>
        <w:t xml:space="preserve">Work Location:</w:t>
      </w:r>
      <w:r>
        <w:t xml:space="preserve"> </w:t>
      </w:r>
      <w:r>
        <w:t xml:space="preserve">All on-site services shall be performed at the issuing entity's primary facility located in United States Miami, Florida, and at such other United States Miami clinical partner sites as may be designated in writing by the project manager.</w:t>
      </w:r>
    </w:p>
    <w:p>
      <w:pPr>
        <w:numPr>
          <w:ilvl w:val="0"/>
          <w:numId w:val="1001"/>
        </w:numPr>
        <w:pStyle w:val="Compact"/>
      </w:pPr>
      <w:r>
        <w:rPr>
          <w:bCs/>
          <w:b/>
        </w:rPr>
        <w:t xml:space="preserve">Payment Terms:</w:t>
      </w:r>
      <w:r>
        <w:t xml:space="preserve"> </w:t>
      </w:r>
      <w:r>
        <w:t xml:space="preserve">Net 30 days from the date of invoice. Invoices shall be submitted monthly in arrears. Late payments shall accrue interest at a rate of 1.5% per month. Payment shall be made via ACH transfer to the vendor's designated bank account in United States Miami.</w:t>
      </w:r>
    </w:p>
    <w:p>
      <w:pPr>
        <w:numPr>
          <w:ilvl w:val="0"/>
          <w:numId w:val="1001"/>
        </w:numPr>
        <w:pStyle w:val="Compact"/>
      </w:pPr>
      <w:r>
        <w:rPr>
          <w:bCs/>
          <w:b/>
        </w:rPr>
        <w:t xml:space="preserve">Qualifications:</w:t>
      </w:r>
      <w:r>
        <w:t xml:space="preserve"> </w:t>
      </w:r>
      <w:r>
        <w:t xml:space="preserve">The Biomedical Engineer assigned to this Purchase Order must hold a minimum of a Master's degree in Biomedical Engineering or a closely related field, possess at least eight (8) years of professional experience in medical device development, and maintain current certification from the American Society for Engineering Education (ASEE) or equivalent body.</w:t>
      </w:r>
    </w:p>
    <w:p>
      <w:pPr>
        <w:numPr>
          <w:ilvl w:val="0"/>
          <w:numId w:val="1001"/>
        </w:numPr>
        <w:pStyle w:val="Compact"/>
      </w:pPr>
      <w:r>
        <w:rPr>
          <w:bCs/>
          <w:b/>
        </w:rPr>
        <w:t xml:space="preserve">Confidentiality:</w:t>
      </w:r>
      <w:r>
        <w:t xml:space="preserve"> </w:t>
      </w:r>
      <w:r>
        <w:t xml:space="preserve">The Biomedical Engineer and the vendor shall maintain strict confidentiality of all proprietary information, patient data, and trade secrets encountered during the performance of services under this Purchase Order. A separate Non-Disclosure Agreement (NDA) is incorporated by reference.</w:t>
      </w:r>
    </w:p>
    <w:p>
      <w:pPr>
        <w:numPr>
          <w:ilvl w:val="0"/>
          <w:numId w:val="1001"/>
        </w:numPr>
        <w:pStyle w:val="Compact"/>
      </w:pPr>
      <w:r>
        <w:rPr>
          <w:bCs/>
          <w:b/>
        </w:rPr>
        <w:t xml:space="preserve">Compliance:</w:t>
      </w:r>
      <w:r>
        <w:t xml:space="preserve"> </w:t>
      </w:r>
      <w:r>
        <w:t xml:space="preserve">All services shall comply with applicable federal and state regulations, including but not limited to FDA 21 CFR Parts 820 (Quality System Regulation), HIPAA privacy standards, and Florida state medical device regulations governing operations in United States Miami.</w:t>
      </w:r>
    </w:p>
    <w:p>
      <w:pPr>
        <w:numPr>
          <w:ilvl w:val="0"/>
          <w:numId w:val="1001"/>
        </w:numPr>
        <w:pStyle w:val="Compact"/>
      </w:pPr>
      <w:r>
        <w:rPr>
          <w:bCs/>
          <w:b/>
        </w:rPr>
        <w:t xml:space="preserve">Insurance:</w:t>
      </w:r>
      <w:r>
        <w:t xml:space="preserve"> </w:t>
      </w:r>
      <w:r>
        <w:t xml:space="preserve">The vendor shall maintain professional liability insurance with a minimum coverage of $2,000,000 per occurrence and $5,000,000 in aggregate, naming South Florida Medical Technology Group, Inc. as an additional insured.</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vendor shall be compensated for all services rendered and documented through the date of termination.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Florida, United States Miami jurisdiction. Any disputes shall be resolved through binding arbitration in United States Miami, Florida.</w:t>
      </w:r>
    </w:p>
    <w:p>
      <w:pPr>
        <w:numPr>
          <w:ilvl w:val="0"/>
          <w:numId w:val="1001"/>
        </w:numPr>
        <w:pStyle w:val="Compact"/>
      </w:pPr>
      <w:r>
        <w:rPr>
          <w:bCs/>
          <w:b/>
        </w:rPr>
        <w:t xml:space="preserve">Change Orders:</w:t>
      </w:r>
      <w:r>
        <w:t xml:space="preserve"> </w:t>
      </w:r>
      <w:r>
        <w:t xml:space="preserve">Any modifications to the scope, schedule, or pricing of Biomedical Engineer services must be documented in a written Change Order signed by authorized representatives of both parties before additional work commences.</w:t>
      </w:r>
    </w:p>
    <w:p>
      <w:pPr>
        <w:pStyle w:val="FirstParagraph"/>
      </w:pPr>
      <w:r>
        <w:t xml:space="preserve">APPROVAL &amp; AUTHORIZATION</w:t>
      </w:r>
    </w:p>
    <w:p>
      <w:pPr>
        <w:pStyle w:val="BodyText"/>
      </w:pPr>
      <w:r>
        <w:rPr>
          <w:bCs/>
          <w:b/>
        </w:rPr>
        <w:t xml:space="preserve">Prepared By (Issuing Entity):</w:t>
      </w:r>
    </w:p>
    <w:p>
      <w:pPr>
        <w:pStyle w:val="BodyText"/>
      </w:pPr>
      <w:r>
        <w:rPr>
          <w:bCs/>
          <w:b/>
        </w:rPr>
        <w:t xml:space="preserve">Name:</w:t>
      </w:r>
      <w:r>
        <w:t xml:space="preserve"> </w:t>
      </w:r>
      <w:r>
        <w:t xml:space="preserve">Marcus T. Delgado, Procurement Director</w:t>
      </w:r>
      <w:r>
        <w:br/>
      </w:r>
      <w:r>
        <w:rPr>
          <w:bCs/>
          <w:b/>
        </w:rPr>
        <w:t xml:space="preserve">Title:</w:t>
      </w:r>
      <w:r>
        <w:t xml:space="preserve"> </w:t>
      </w:r>
      <w:r>
        <w:t xml:space="preserve">Director of Procurement &amp; Supply Chain</w:t>
      </w:r>
      <w:r>
        <w:br/>
      </w:r>
      <w:r>
        <w:rPr>
          <w:bCs/>
          <w:b/>
        </w:rPr>
        <w:t xml:space="preserve">Signature:</w:t>
      </w:r>
      <w:r>
        <w:t xml:space="preserve"> </w:t>
      </w:r>
      <w:r>
        <w:t xml:space="preserve">___________________________   </w:t>
      </w:r>
      <w:r>
        <w:t xml:space="preserve"> </w:t>
      </w:r>
      <w:r>
        <w:rPr>
          <w:bCs/>
          <w:b/>
        </w:rPr>
        <w:t xml:space="preserve">Date:</w:t>
      </w:r>
      <w:r>
        <w:t xml:space="preserve"> </w:t>
      </w:r>
      <w:r>
        <w:t xml:space="preserve">__________</w:t>
      </w:r>
    </w:p>
    <w:p>
      <w:pPr>
        <w:pStyle w:val="BodyText"/>
      </w:pPr>
      <w:r>
        <w:rPr>
          <w:bCs/>
          <w:b/>
        </w:rPr>
        <w:t xml:space="preserve">Accepted By (Vendor):</w:t>
      </w:r>
    </w:p>
    <w:p>
      <w:pPr>
        <w:pStyle w:val="BodyText"/>
      </w:pPr>
      <w:r>
        <w:rPr>
          <w:bCs/>
          <w:b/>
        </w:rPr>
        <w:t xml:space="preserve">Name:</w:t>
      </w:r>
      <w:r>
        <w:t xml:space="preserve"> </w:t>
      </w:r>
      <w:r>
        <w:t xml:space="preserve">Dr. Elena Vasquez</w:t>
      </w:r>
      <w:r>
        <w:br/>
      </w:r>
      <w:r>
        <w:rPr>
          <w:bCs/>
          <w:b/>
        </w:rPr>
        <w:t xml:space="preserve">Title:</w:t>
      </w:r>
      <w:r>
        <w:t xml:space="preserve"> </w:t>
      </w:r>
      <w:r>
        <w:t xml:space="preserve">Director of Engineering Services, Apex Biomedical Consulting Partners, LLC</w:t>
      </w:r>
      <w:r>
        <w:br/>
      </w:r>
      <w:r>
        <w:rPr>
          <w:bCs/>
          <w:b/>
        </w:rPr>
        <w:t xml:space="preserve">Signature:</w:t>
      </w:r>
      <w:r>
        <w:t xml:space="preserve"> </w:t>
      </w:r>
      <w:r>
        <w:t xml:space="preserve">___________________________   </w:t>
      </w:r>
      <w:r>
        <w:t xml:space="preserve"> </w:t>
      </w:r>
      <w:r>
        <w:rPr>
          <w:bCs/>
          <w:b/>
        </w:rPr>
        <w:t xml:space="preserve">Date:</w:t>
      </w:r>
      <w:r>
        <w:t xml:space="preserve"> </w:t>
      </w:r>
      <w:r>
        <w:t xml:space="preserve">__________</w:t>
      </w:r>
    </w:p>
    <w:p>
      <w:pPr>
        <w:pStyle w:val="BodyText"/>
      </w:pPr>
      <w:r>
        <w:rPr>
          <w:bCs/>
          <w:b/>
        </w:rPr>
        <w:t xml:space="preserve">Purchase Order PO-BME-2025-04782</w:t>
      </w:r>
      <w:r>
        <w:t xml:space="preserve"> </w:t>
      </w:r>
      <w:r>
        <w:t xml:space="preserve">— Biomedical Engineer Services — United States Miami, FL</w:t>
      </w:r>
    </w:p>
    <w:p>
      <w:pPr>
        <w:pStyle w:val="BodyText"/>
      </w:pPr>
      <w:r>
        <w:t xml:space="preserve">South Florida Medical Technology Group, Inc. | 3200 Biscayne Boulevard, Suite 1400, United States Miami, FL 33137</w:t>
      </w:r>
    </w:p>
    <w:p>
      <w:pPr>
        <w:pStyle w:val="BodyText"/>
      </w:pPr>
      <w:r>
        <w:t xml:space="preserve">This document is the property of South Florida Medical Technology Group, Inc. Unauthorized reproduction or distribution is prohibited.</w:t>
      </w:r>
    </w:p>
    <w:p>
      <w:pPr>
        <w:pStyle w:val="BodyText"/>
      </w:pPr>
      <w:r>
        <w:t xml:space="preserve">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Biomedical Engineer Services - United States Miami</dc:title>
  <dc:creator/>
  <dc:language>en</dc:language>
  <cp:keywords/>
  <dcterms:created xsi:type="dcterms:W3CDTF">2026-10-10T01:57:22Z</dcterms:created>
  <dcterms:modified xsi:type="dcterms:W3CDTF">2026-10-10T01:57:22Z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