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rPr>
          <w:bCs/>
          <w:b/>
        </w:rPr>
        <w:t xml:space="preserve">Meridian Strategic Solutions Pty Ltd</w:t>
      </w:r>
    </w:p>
    <w:p>
      <w:pPr>
        <w:pStyle w:val="BodyText"/>
      </w:pPr>
      <w:r>
        <w:t xml:space="preserve">Level 12, 350 Collins Street, Melbourne, Victoria 3000, Australia</w:t>
      </w:r>
    </w:p>
    <w:p>
      <w:pPr>
        <w:pStyle w:val="BodyText"/>
      </w:pPr>
      <w:r>
        <w:t xml:space="preserve">ABN: 48 123 456 789 | ACN: 123 456 789</w:t>
      </w:r>
    </w:p>
    <w:p>
      <w:pPr>
        <w:pStyle w:val="BodyText"/>
      </w:pPr>
      <w:r>
        <w:t xml:space="preserve">Phone: +61 3 9123 4567 | Email: procurement@meridianstrategic.com.au</w:t>
      </w:r>
    </w:p>
    <w:p>
      <w:pPr>
        <w:pStyle w:val="BodyText"/>
      </w:pPr>
      <w:r>
        <w:t xml:space="preserve">PO No: MS-2025-00472</w:t>
      </w:r>
    </w:p>
    <w:bookmarkEnd w:id="20"/>
    <w:bookmarkStart w:id="21" w:name="supplier-business-consultant-details"/>
    <w:p>
      <w:pPr>
        <w:pStyle w:val="Heading2"/>
      </w:pPr>
      <w:r>
        <w:t xml:space="preserve">Supplier / Business Consultant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Consultant Name:</w:t>
            </w:r>
          </w:p>
        </w:tc>
        <w:tc>
          <w:tcPr/>
          <w:p>
            <w:pPr>
              <w:pStyle w:val="Compact"/>
              <w:jc w:val="left"/>
            </w:pPr>
            <w:r>
              <w:t xml:space="preserve">Dr. Eleanor Whitfield</w:t>
            </w:r>
          </w:p>
        </w:tc>
      </w:tr>
      <w:tr>
        <w:tc>
          <w:tcPr/>
          <w:p>
            <w:pPr>
              <w:pStyle w:val="Compact"/>
              <w:jc w:val="left"/>
            </w:pPr>
            <w:r>
              <w:rPr>
                <w:bCs/>
                <w:b/>
              </w:rPr>
              <w:t xml:space="preserve">Company:</w:t>
            </w:r>
          </w:p>
        </w:tc>
        <w:tc>
          <w:tcPr/>
          <w:p>
            <w:pPr>
              <w:pStyle w:val="Compact"/>
              <w:jc w:val="left"/>
            </w:pPr>
            <w:r>
              <w:t xml:space="preserve">Whitfield Business Advisory Group</w:t>
            </w:r>
          </w:p>
        </w:tc>
      </w:tr>
      <w:tr>
        <w:tc>
          <w:tcPr/>
          <w:p>
            <w:pPr>
              <w:pStyle w:val="Compact"/>
              <w:jc w:val="left"/>
            </w:pPr>
            <w:r>
              <w:rPr>
                <w:bCs/>
                <w:b/>
              </w:rPr>
              <w:t xml:space="preserve">Address:</w:t>
            </w:r>
          </w:p>
        </w:tc>
        <w:tc>
          <w:tcPr/>
          <w:p>
            <w:pPr>
              <w:pStyle w:val="Compact"/>
              <w:jc w:val="left"/>
            </w:pPr>
            <w:r>
              <w:t xml:space="preserve">Suite 5, 88 Swanston Street, Melbourne, Victoria 3000, Australia</w:t>
            </w:r>
          </w:p>
        </w:tc>
      </w:tr>
      <w:tr>
        <w:tc>
          <w:tcPr/>
          <w:p>
            <w:pPr>
              <w:pStyle w:val="Compact"/>
              <w:jc w:val="left"/>
            </w:pPr>
            <w:r>
              <w:rPr>
                <w:bCs/>
                <w:b/>
              </w:rPr>
              <w:t xml:space="preserve">ABN:</w:t>
            </w:r>
          </w:p>
        </w:tc>
        <w:tc>
          <w:tcPr/>
          <w:p>
            <w:pPr>
              <w:pStyle w:val="Compact"/>
              <w:jc w:val="left"/>
            </w:pPr>
            <w:r>
              <w:t xml:space="preserve">52 987 654 321</w:t>
            </w:r>
          </w:p>
        </w:tc>
      </w:tr>
      <w:tr>
        <w:tc>
          <w:tcPr/>
          <w:p>
            <w:pPr>
              <w:pStyle w:val="Compact"/>
              <w:jc w:val="left"/>
            </w:pPr>
            <w:r>
              <w:rPr>
                <w:bCs/>
                <w:b/>
              </w:rPr>
              <w:t xml:space="preserve">Contact:</w:t>
            </w:r>
          </w:p>
        </w:tc>
        <w:tc>
          <w:tcPr/>
          <w:p>
            <w:pPr>
              <w:pStyle w:val="Compact"/>
              <w:jc w:val="left"/>
            </w:pPr>
            <w:r>
              <w:t xml:space="preserve">e.whitfield@wbag.com.au | +61 3 9876 5432</w:t>
            </w:r>
          </w:p>
        </w:tc>
      </w:tr>
      <w:tr>
        <w:tc>
          <w:tcPr/>
          <w:p>
            <w:pPr>
              <w:pStyle w:val="Compact"/>
              <w:jc w:val="left"/>
            </w:pPr>
            <w:r>
              <w:rPr>
                <w:bCs/>
                <w:b/>
              </w:rPr>
              <w:t xml:space="preserve">Specialisation:</w:t>
            </w:r>
          </w:p>
        </w:tc>
        <w:tc>
          <w:tcPr/>
          <w:p>
            <w:pPr>
              <w:pStyle w:val="Compact"/>
              <w:jc w:val="left"/>
            </w:pPr>
            <w:r>
              <w:t xml:space="preserve">Business Consultant – Organisational Strategy &amp; Operational Excellence</w:t>
            </w:r>
          </w:p>
        </w:tc>
      </w:tr>
    </w:tbl>
    <w:bookmarkEnd w:id="21"/>
    <w:bookmarkStart w:id="22" w:name="purchase-order-information"/>
    <w:p>
      <w:pPr>
        <w:pStyle w:val="Heading2"/>
      </w:pPr>
      <w:r>
        <w:t xml:space="preserve">Purchase Order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PO Date:</w:t>
            </w:r>
          </w:p>
        </w:tc>
        <w:tc>
          <w:tcPr/>
          <w:p>
            <w:pPr>
              <w:pStyle w:val="Compact"/>
              <w:jc w:val="left"/>
            </w:pPr>
            <w:r>
              <w:t xml:space="preserve">14 June 2025</w:t>
            </w:r>
          </w:p>
        </w:tc>
      </w:tr>
      <w:tr>
        <w:tc>
          <w:tcPr/>
          <w:p>
            <w:pPr>
              <w:pStyle w:val="Compact"/>
              <w:jc w:val="left"/>
            </w:pPr>
            <w:r>
              <w:rPr>
                <w:bCs/>
                <w:b/>
              </w:rPr>
              <w:t xml:space="preserve">Required Start Date:</w:t>
            </w:r>
          </w:p>
        </w:tc>
        <w:tc>
          <w:tcPr/>
          <w:p>
            <w:pPr>
              <w:pStyle w:val="Compact"/>
              <w:jc w:val="left"/>
            </w:pPr>
            <w:r>
              <w:t xml:space="preserve">1 July 2025</w:t>
            </w:r>
          </w:p>
        </w:tc>
      </w:tr>
      <w:tr>
        <w:tc>
          <w:tcPr/>
          <w:p>
            <w:pPr>
              <w:pStyle w:val="Compact"/>
              <w:jc w:val="left"/>
            </w:pPr>
            <w:r>
              <w:rPr>
                <w:bCs/>
                <w:b/>
              </w:rPr>
              <w:t xml:space="preserve">Engagement Duration:</w:t>
            </w:r>
          </w:p>
        </w:tc>
        <w:tc>
          <w:tcPr/>
          <w:p>
            <w:pPr>
              <w:pStyle w:val="Compact"/>
              <w:jc w:val="left"/>
            </w:pPr>
            <w:r>
              <w:t xml:space="preserve">12 months (1 July 2025 – 30 June 2026)</w:t>
            </w:r>
          </w:p>
        </w:tc>
      </w:tr>
      <w:tr>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Australian Dollars (AUD)</w:t>
            </w:r>
          </w:p>
        </w:tc>
      </w:tr>
      <w:tr>
        <w:tc>
          <w:tcPr/>
          <w:p>
            <w:pPr>
              <w:pStyle w:val="Compact"/>
              <w:jc w:val="left"/>
            </w:pPr>
            <w:r>
              <w:rPr>
                <w:bCs/>
                <w:b/>
              </w:rPr>
              <w:t xml:space="preserve">Delivery Location:</w:t>
            </w:r>
          </w:p>
        </w:tc>
        <w:tc>
          <w:tcPr/>
          <w:p>
            <w:pPr>
              <w:pStyle w:val="Compact"/>
              <w:jc w:val="left"/>
            </w:pPr>
            <w:r>
              <w:t xml:space="preserve">Meridian Offices, Melbourne, Victoria, Australia</w:t>
            </w:r>
          </w:p>
        </w:tc>
      </w:tr>
    </w:tbl>
    <w:bookmarkEnd w:id="22"/>
    <w:bookmarkStart w:id="23" w:name="Xebcac6afb871b06642950e42c4b8e3e3ba5b93d"/>
    <w:p>
      <w:pPr>
        <w:pStyle w:val="Heading2"/>
      </w:pPr>
      <w:r>
        <w:t xml:space="preserve">Description of Business Consultant Services</w:t>
      </w:r>
    </w:p>
    <w:p>
      <w:pPr>
        <w:pStyle w:val="FirstParagraph"/>
      </w:pPr>
      <w:r>
        <w:t xml:space="preserve">This Purchase Order is issued by Meridian Strategic Solutions Pty Ltd to engage Dr. Eleanor Whitfield, a qualified Business Consultant operating in Australia Melbourne, to deliver a comprehensive suite of strategic advisory services. The Business Consultant shall provide expert guidance in organisational restructuring, process optimisation, market entry strategy for the Victorian and broader Australian markets, and leadership development programmes. All services shall be performed in accordance with Australian professional standards, the Australian Consumer Law, and the contractual obligations set forth in this Purchase Order and the associated Statement of Work.</w:t>
      </w:r>
    </w:p>
    <w:bookmarkEnd w:id="23"/>
    <w:bookmarkStart w:id="24" w:name="line-items-business-consultant-services"/>
    <w:p>
      <w:pPr>
        <w:pStyle w:val="Heading2"/>
      </w:pPr>
      <w:r>
        <w:t xml:space="preserve">Line Items – Business Consultant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Strategic Business Review &amp; Organisational Audit – Full assessment of current operations, governance structures, and performance metrics at Melbourne headquarters</w:t>
            </w:r>
          </w:p>
        </w:tc>
        <w:tc>
          <w:tcPr/>
          <w:p>
            <w:pPr>
              <w:pStyle w:val="Compact"/>
              <w:jc w:val="left"/>
            </w:pPr>
            <w:r>
              <w:t xml:space="preserve">1 engagement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Operational Excellence Programme – Design and implementation of lean management frameworks across all Melbourne-based divisions</w:t>
            </w:r>
          </w:p>
        </w:tc>
        <w:tc>
          <w:tcPr/>
          <w:p>
            <w:pPr>
              <w:pStyle w:val="Compact"/>
              <w:jc w:val="left"/>
            </w:pPr>
            <w:r>
              <w:t xml:space="preserve">6 months</w:t>
            </w:r>
          </w:p>
        </w:tc>
        <w:tc>
          <w:tcPr/>
          <w:p>
            <w:pPr>
              <w:pStyle w:val="Compact"/>
              <w:jc w:val="left"/>
            </w:pPr>
            <w:r>
              <w:t xml:space="preserve">$12,000.00/mo</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Market Entry Strategy – Development of expansion roadmap for South-East Asian markets with localised Australian compliance considerations</w:t>
            </w:r>
          </w:p>
        </w:tc>
        <w:tc>
          <w:tcPr/>
          <w:p>
            <w:pPr>
              <w:pStyle w:val="Compact"/>
              <w:jc w:val="left"/>
            </w:pPr>
            <w:r>
              <w:t xml:space="preserve">1 engagement</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4</w:t>
            </w:r>
          </w:p>
        </w:tc>
        <w:tc>
          <w:tcPr/>
          <w:p>
            <w:pPr>
              <w:pStyle w:val="Compact"/>
              <w:jc w:val="left"/>
            </w:pPr>
            <w:r>
              <w:t xml:space="preserve">Leadership Development &amp; Change Management Workshops – Facilitation of quarterly executive workshops (4 sessions per year)</w:t>
            </w:r>
          </w:p>
        </w:tc>
        <w:tc>
          <w:tcPr/>
          <w:p>
            <w:pPr>
              <w:pStyle w:val="Compact"/>
              <w:jc w:val="left"/>
            </w:pPr>
            <w:r>
              <w:t xml:space="preserve">12 sessions</w:t>
            </w:r>
          </w:p>
        </w:tc>
        <w:tc>
          <w:tcPr/>
          <w:p>
            <w:pPr>
              <w:pStyle w:val="Compact"/>
              <w:jc w:val="left"/>
            </w:pPr>
            <w:r>
              <w:t xml:space="preserve">$3,200.00/session</w:t>
            </w:r>
          </w:p>
        </w:tc>
        <w:tc>
          <w:tcPr/>
          <w:p>
            <w:pPr>
              <w:pStyle w:val="Compact"/>
              <w:jc w:val="left"/>
            </w:pPr>
            <w:r>
              <w:t xml:space="preserve">$38,400.00</w:t>
            </w:r>
          </w:p>
        </w:tc>
      </w:tr>
      <w:tr>
        <w:tc>
          <w:tcPr/>
          <w:p>
            <w:pPr>
              <w:pStyle w:val="Compact"/>
              <w:jc w:val="left"/>
            </w:pPr>
            <w:r>
              <w:t xml:space="preserve">5</w:t>
            </w:r>
          </w:p>
        </w:tc>
        <w:tc>
          <w:tcPr/>
          <w:p>
            <w:pPr>
              <w:pStyle w:val="Compact"/>
              <w:jc w:val="left"/>
            </w:pPr>
            <w:r>
              <w:t xml:space="preserve">Ongoing Advisory &amp; Quarterly Performance Reporting – Monthly check-in calls and quarterly written reports to the Melbourne Board of Directors</w:t>
            </w:r>
          </w:p>
        </w:tc>
        <w:tc>
          <w:tcPr/>
          <w:p>
            <w:pPr>
              <w:pStyle w:val="Compact"/>
              <w:jc w:val="left"/>
            </w:pPr>
            <w:r>
              <w:t xml:space="preserve">12 months</w:t>
            </w:r>
          </w:p>
        </w:tc>
        <w:tc>
          <w:tcPr/>
          <w:p>
            <w:pPr>
              <w:pStyle w:val="Compact"/>
              <w:jc w:val="left"/>
            </w:pPr>
            <w:r>
              <w:t xml:space="preserve">$4,500.00/mo</w:t>
            </w:r>
          </w:p>
        </w:tc>
        <w:tc>
          <w:tcPr/>
          <w:p>
            <w:pPr>
              <w:pStyle w:val="Compact"/>
              <w:jc w:val="left"/>
            </w:pPr>
            <w:r>
              <w:t xml:space="preserve">$54,000.00</w:t>
            </w:r>
          </w:p>
        </w:tc>
      </w:tr>
      <w:tr>
        <w:tc>
          <w:tcPr/>
          <w:p>
            <w:pPr>
              <w:pStyle w:val="Compact"/>
              <w:jc w:val="left"/>
            </w:pPr>
            <w:r>
              <w:t xml:space="preserve">6</w:t>
            </w:r>
          </w:p>
        </w:tc>
        <w:tc>
          <w:tcPr/>
          <w:p>
            <w:pPr>
              <w:pStyle w:val="Compact"/>
              <w:jc w:val="left"/>
            </w:pPr>
            <w:r>
              <w:t xml:space="preserve">Technology Integration Assessment – Evaluation of ERP and CRM systems for alignment with Business Consultant recommendations</w:t>
            </w:r>
          </w:p>
        </w:tc>
        <w:tc>
          <w:tcPr/>
          <w:p>
            <w:pPr>
              <w:pStyle w:val="Compact"/>
              <w:jc w:val="left"/>
            </w:pPr>
            <w:r>
              <w:t xml:space="preserve">1 engagement</w:t>
            </w:r>
          </w:p>
        </w:tc>
        <w:tc>
          <w:tcPr/>
          <w:p>
            <w:pPr>
              <w:pStyle w:val="Compact"/>
              <w:jc w:val="left"/>
            </w:pPr>
            <w:r>
              <w:t xml:space="preserve">$15,250.00</w:t>
            </w:r>
          </w:p>
        </w:tc>
        <w:tc>
          <w:tcPr/>
          <w:p>
            <w:pPr>
              <w:pStyle w:val="Compact"/>
              <w:jc w:val="left"/>
            </w:pPr>
            <w:r>
              <w:t xml:space="preserve">$15,250.00</w:t>
            </w:r>
          </w:p>
        </w:tc>
      </w:tr>
      <w:tr>
        <w:tc>
          <w:tcPr>
            <w:gridSpan w:val="4"/>
          </w:tcPr>
          <w:p>
            <w:pPr>
              <w:pStyle w:val="Compact"/>
              <w:jc w:val="left"/>
            </w:pPr>
            <w:r>
              <w:t xml:space="preserve">Subtotal (AUD)</w:t>
            </w:r>
          </w:p>
        </w:tc>
        <w:tc>
          <w:tcPr/>
          <w:p>
            <w:pPr>
              <w:pStyle w:val="Compact"/>
              <w:jc w:val="left"/>
            </w:pPr>
            <w:r>
              <w:t xml:space="preserve">$222,900.00</w:t>
            </w:r>
          </w:p>
        </w:tc>
      </w:tr>
      <w:tr>
        <w:tc>
          <w:tcPr>
            <w:gridSpan w:val="4"/>
          </w:tcPr>
          <w:p>
            <w:pPr>
              <w:pStyle w:val="Compact"/>
              <w:jc w:val="left"/>
            </w:pPr>
            <w:r>
              <w:t xml:space="preserve">GST (10%)</w:t>
            </w:r>
          </w:p>
        </w:tc>
        <w:tc>
          <w:tcPr/>
          <w:p>
            <w:pPr>
              <w:pStyle w:val="Compact"/>
              <w:jc w:val="left"/>
            </w:pPr>
            <w:r>
              <w:t xml:space="preserve">$22,290.00</w:t>
            </w:r>
          </w:p>
        </w:tc>
      </w:tr>
      <w:tr>
        <w:tc>
          <w:tcPr>
            <w:gridSpan w:val="4"/>
          </w:tcPr>
          <w:p>
            <w:pPr>
              <w:pStyle w:val="Compact"/>
              <w:jc w:val="left"/>
            </w:pPr>
            <w:r>
              <w:rPr>
                <w:bCs/>
                <w:b/>
              </w:rPr>
              <w:t xml:space="preserve">Total Purchase Order Value (AUD)</w:t>
            </w:r>
          </w:p>
        </w:tc>
        <w:tc>
          <w:tcPr/>
          <w:p>
            <w:pPr>
              <w:pStyle w:val="Compact"/>
              <w:jc w:val="left"/>
            </w:pPr>
            <w:r>
              <w:rPr>
                <w:bCs/>
                <w:b/>
              </w:rPr>
              <w:t xml:space="preserve">$245,190.00</w:t>
            </w:r>
          </w:p>
        </w:tc>
      </w:tr>
    </w:tbl>
    <w:bookmarkEnd w:id="24"/>
    <w:bookmarkStart w:id="25"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and all associated services shall be governed by and construed in accordance with the laws of the State of Victoria, Australia, and the Commonwealth of Australia. Any disputes shall be resolved through the Victorian Commercial and Consumer Panel or the Supreme Court of Victoria.</w:t>
      </w:r>
    </w:p>
    <w:p>
      <w:pPr>
        <w:numPr>
          <w:ilvl w:val="0"/>
          <w:numId w:val="1001"/>
        </w:numPr>
        <w:pStyle w:val="Compact"/>
      </w:pPr>
      <w:r>
        <w:rPr>
          <w:bCs/>
          <w:b/>
        </w:rPr>
        <w:t xml:space="preserve">Business Consultant Obligations:</w:t>
      </w:r>
      <w:r>
        <w:t xml:space="preserve"> </w:t>
      </w:r>
      <w:r>
        <w:t xml:space="preserve">The Business Consultant shall maintain all necessary professional indemnity insurance (minimum $10,000,000 AUD) and public liability insurance throughout the engagement period. The Business Consultant shall comply with all Australian Privacy Act 1988 obligations when handling Meridian's confidential data.</w:t>
      </w:r>
    </w:p>
    <w:p>
      <w:pPr>
        <w:numPr>
          <w:ilvl w:val="0"/>
          <w:numId w:val="1001"/>
        </w:numPr>
        <w:pStyle w:val="Compact"/>
      </w:pPr>
      <w:r>
        <w:rPr>
          <w:bCs/>
          <w:b/>
        </w:rPr>
        <w:t xml:space="preserve">Intellectual Property:</w:t>
      </w:r>
      <w:r>
        <w:t xml:space="preserve"> </w:t>
      </w:r>
      <w:r>
        <w:t xml:space="preserve">All reports, strategies, frameworks, and deliverables produced by the Business Consultant under this Purchase Order shall become the sole intellectual property of Meridian Strategic Solutions Pty Ltd upon full payment. The Business Consultant retains the right to reference the engagement in anonymised case studies with prior written consent.</w:t>
      </w:r>
    </w:p>
    <w:p>
      <w:pPr>
        <w:numPr>
          <w:ilvl w:val="0"/>
          <w:numId w:val="1001"/>
        </w:numPr>
        <w:pStyle w:val="Compact"/>
      </w:pPr>
      <w:r>
        <w:rPr>
          <w:bCs/>
          <w:b/>
        </w:rPr>
        <w:t xml:space="preserve">Payment Schedule:</w:t>
      </w:r>
      <w:r>
        <w:t xml:space="preserve"> </w:t>
      </w:r>
      <w:r>
        <w:t xml:space="preserve">Invoices shall be submitted monthly in arrears. Payment shall be made via electronic funds transfer (EFT) to the Business Consultant's nominated Australian bank account within thirty (30) calendar days of the invoice date. Late payments shall attract interest at the rate prescribed under the Australian Consumer Law.</w:t>
      </w:r>
    </w:p>
    <w:p>
      <w:pPr>
        <w:numPr>
          <w:ilvl w:val="0"/>
          <w:numId w:val="1001"/>
        </w:numPr>
        <w:pStyle w:val="Compact"/>
      </w:pPr>
      <w:r>
        <w:rPr>
          <w:bCs/>
          <w:b/>
        </w:rPr>
        <w:t xml:space="preserve">Confidentiality:</w:t>
      </w:r>
      <w:r>
        <w:t xml:space="preserve"> </w:t>
      </w:r>
      <w:r>
        <w:t xml:space="preserve">The Business Consultant shall treat all information received from Meridian as strictly confidential. This obligation survives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Business Consultant shall be compensated for all services rendered up to the termination date, plus reasonable transition costs not exceeding $5,000 AUD.</w:t>
      </w:r>
    </w:p>
    <w:p>
      <w:pPr>
        <w:numPr>
          <w:ilvl w:val="0"/>
          <w:numId w:val="1001"/>
        </w:numPr>
        <w:pStyle w:val="Compact"/>
      </w:pPr>
      <w:r>
        <w:rPr>
          <w:bCs/>
          <w:b/>
        </w:rPr>
        <w:t xml:space="preserve">Work Location:</w:t>
      </w:r>
      <w:r>
        <w:t xml:space="preserve"> </w:t>
      </w:r>
      <w:r>
        <w:t xml:space="preserve">Primary work shall be conducted at Meridian's Melbourne office at 350 Collins Street. Remote work from any location within Australia Melbourne metropolitan area is permitted with prior approval. Travel within the Melbourne metropolitan area is included; travel outside Melbourne shall be reimbursed at cost with prior written authorisation.</w:t>
      </w:r>
    </w:p>
    <w:p>
      <w:pPr>
        <w:numPr>
          <w:ilvl w:val="0"/>
          <w:numId w:val="1001"/>
        </w:numPr>
        <w:pStyle w:val="Compact"/>
      </w:pPr>
      <w:r>
        <w:rPr>
          <w:bCs/>
          <w:b/>
        </w:rPr>
        <w:t xml:space="preserve">Compliance:</w:t>
      </w:r>
      <w:r>
        <w:t xml:space="preserve"> </w:t>
      </w:r>
      <w:r>
        <w:t xml:space="preserve">The Business Consultant warrants that all services shall comply with the Australian Competition and Consumer Act 2010, the Corporations Act 2001 (Cth), and all applicable Victorian state legislation.</w:t>
      </w:r>
    </w:p>
    <w:bookmarkEnd w:id="25"/>
    <w:p>
      <w:pPr>
        <w:pStyle w:val="FirstParagraph"/>
      </w:pPr>
      <w:r>
        <w:rPr>
          <w:bCs/>
          <w:b/>
        </w:rPr>
        <w:t xml:space="preserve">Note:</w:t>
      </w:r>
      <w:r>
        <w:t xml:space="preserve"> </w:t>
      </w:r>
      <w:r>
        <w:t xml:space="preserve">This Purchase Order constitutes a binding agreement between Meridian Strategic Solutions Pty Ltd and Whitfield Business Advisory Group upon execution by both parties. The Business Consultant acknowledges that acceptance of this Purchase Order constitutes agreement to all terms, conditions, and service specifications outlined herein. All amounts are quoted in Australian Dollars (AUD) and include applicable Goods and Services Tax (GST) at the current rate of 10% as administered by the Australian Taxation Office.</w:t>
      </w:r>
    </w:p>
    <w:bookmarkStart w:id="26" w:name="authorisation-acceptance"/>
    <w:p>
      <w:pPr>
        <w:pStyle w:val="Heading2"/>
      </w:pPr>
      <w:r>
        <w:t xml:space="preserve">Authorisation &amp; Acceptance</w:t>
      </w:r>
    </w:p>
    <w:p>
      <w:pPr>
        <w:pStyle w:val="FirstParagraph"/>
      </w:pPr>
      <w:r>
        <w:rPr>
          <w:bCs/>
          <w:b/>
        </w:rPr>
        <w:t xml:space="preserve">For and on behalf of Meridian Strategic Solutions Pty Ltd (Buyer)</w:t>
      </w:r>
    </w:p>
    <w:p>
      <w:pPr>
        <w:pStyle w:val="BodyText"/>
      </w:pPr>
      <w:r>
        <w:t xml:space="preserve">Name: James A. Thornton</w:t>
      </w:r>
    </w:p>
    <w:p>
      <w:pPr>
        <w:pStyle w:val="BodyText"/>
      </w:pPr>
      <w:r>
        <w:t xml:space="preserve">Title: Chief Financial Officer</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Whitfield Business Advisory Group (Business Consultant / Supplier)</w:t>
      </w:r>
    </w:p>
    <w:p>
      <w:pPr>
        <w:pStyle w:val="BodyText"/>
      </w:pPr>
      <w:r>
        <w:t xml:space="preserve">Name: Dr. Eleanor Whitfield</w:t>
      </w:r>
    </w:p>
    <w:p>
      <w:pPr>
        <w:pStyle w:val="BodyText"/>
      </w:pPr>
      <w:r>
        <w:t xml:space="preserve">Title: Principal Business Consultant</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This Purchase Order was prepared and issued in Melbourne, Victoria, Australia. Document Reference: MS-2025-00472 | Version 1.0</w:t>
      </w:r>
    </w:p>
    <w:p>
      <w:pPr>
        <w:pStyle w:val="BodyText"/>
      </w:pPr>
      <w:r>
        <w:t xml:space="preserve">Meridian Strategic Solutions Pty Ltd | ABN 48 123 456 789 | Level 12, 350 Collins Street, Melbourne VIC 3000, Australia</w:t>
      </w:r>
    </w:p>
    <w:p>
      <w:pPr>
        <w:pStyle w:val="BodyText"/>
      </w:pPr>
      <w:r>
        <w:t xml:space="preserve">For queries regarding this Purchase Order, contact the Procurement Department at procurement@meridianstrategic.com.au or +61 3 9123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Australia Melbourne</dc:title>
  <dc:creator/>
  <dc:language>en</dc:language>
  <cp:keywords/>
  <dcterms:created xsi:type="dcterms:W3CDTF">2026-10-10T05:53:18Z</dcterms:created>
  <dcterms:modified xsi:type="dcterms:W3CDTF">2026-10-10T05:53:18Z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