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Colombia</w:t>
      </w:r>
      <w:r>
        <w:t xml:space="preserve"> </w:t>
      </w:r>
      <w:r>
        <w:t xml:space="preserve">Bogotá</w:t>
      </w:r>
    </w:p>
    <w:bookmarkStart w:id="27" w:name="purchase-order"/>
    <w:p>
      <w:pPr>
        <w:pStyle w:val="Heading1"/>
      </w:pPr>
      <w:r>
        <w:t xml:space="preserve">PURCHASE ORDER</w:t>
      </w:r>
    </w:p>
    <w:p>
      <w:pPr>
        <w:pStyle w:val="FirstParagraph"/>
      </w:pPr>
      <w:r>
        <w:t xml:space="preserve">PO No. CB-2025-04871</w:t>
      </w:r>
    </w:p>
    <w:bookmarkStart w:id="20" w:name="issuing-company-buyer"/>
    <w:p>
      <w:pPr>
        <w:pStyle w:val="Heading3"/>
      </w:pPr>
      <w:r>
        <w:t xml:space="preserve">Issuing Company (Buyer)</w:t>
      </w:r>
    </w:p>
    <w:p>
      <w:pPr>
        <w:pStyle w:val="FirstParagraph"/>
      </w:pPr>
      <w:r>
        <w:rPr>
          <w:bCs/>
          <w:b/>
        </w:rPr>
        <w:t xml:space="preserve">Andes Corporate Solutions S.A.S.</w:t>
      </w:r>
      <w:r>
        <w:br/>
      </w:r>
      <w:r>
        <w:t xml:space="preserve">Calle 93 No. 15-45, Piso 12</w:t>
      </w:r>
      <w:r>
        <w:br/>
      </w:r>
      <w:r>
        <w:t xml:space="preserve">Bogotá D.C., Colombia</w:t>
      </w:r>
      <w:r>
        <w:br/>
      </w:r>
      <w:r>
        <w:t xml:space="preserve">NIT: 900.456.789-1</w:t>
      </w:r>
      <w:r>
        <w:br/>
      </w:r>
      <w:r>
        <w:t xml:space="preserve">Phone: +57 (601) 743 2210</w:t>
      </w:r>
      <w:r>
        <w:br/>
      </w:r>
      <w:r>
        <w:t xml:space="preserve">Email: procurement@andescorp.co</w:t>
      </w:r>
    </w:p>
    <w:bookmarkEnd w:id="20"/>
    <w:bookmarkStart w:id="21" w:name="vendor-service-provider"/>
    <w:p>
      <w:pPr>
        <w:pStyle w:val="Heading3"/>
      </w:pPr>
      <w:r>
        <w:t xml:space="preserve">Vendor / Service Provider</w:t>
      </w:r>
    </w:p>
    <w:p>
      <w:pPr>
        <w:pStyle w:val="FirstParagraph"/>
      </w:pPr>
      <w:r>
        <w:rPr>
          <w:bCs/>
          <w:b/>
        </w:rPr>
        <w:t xml:space="preserve">Strategic Advisory Partners Ltda.</w:t>
      </w:r>
      <w:r>
        <w:br/>
      </w:r>
      <w:r>
        <w:t xml:space="preserve">Av. El Poblado No. 19-32, Of. 804</w:t>
      </w:r>
      <w:r>
        <w:br/>
      </w:r>
      <w:r>
        <w:t xml:space="preserve">Bogotá D.C., Colombia</w:t>
      </w:r>
      <w:r>
        <w:br/>
      </w:r>
      <w:r>
        <w:t xml:space="preserve">NIT: 830.123.456-7</w:t>
      </w:r>
      <w:r>
        <w:br/>
      </w:r>
      <w:r>
        <w:t xml:space="preserve">Phone: +57 (601) 555 8890</w:t>
      </w:r>
      <w:r>
        <w:br/>
      </w:r>
      <w:r>
        <w:t xml:space="preserve">Email: contracts@sapconsulting.co</w:t>
      </w:r>
    </w:p>
    <w:bookmarkEnd w:id="21"/>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Field</w:t>
            </w:r>
          </w:p>
        </w:tc>
        <w:tc>
          <w:tcPr/>
          <w:p>
            <w:pPr>
              <w:pStyle w:val="Compact"/>
              <w:jc w:val="left"/>
            </w:pPr>
            <w:r>
              <w:t xml:space="preserve">Details</w:t>
            </w:r>
          </w:p>
        </w:tc>
        <w:tc>
          <w:tcPr/>
          <w:p>
            <w:pPr>
              <w:pStyle w:val="Compact"/>
              <w:jc w:val="left"/>
            </w:pPr>
            <w:r>
              <w:t xml:space="preserve">Field</w:t>
            </w:r>
          </w:p>
        </w:tc>
        <w:tc>
          <w:tcPr/>
          <w:p>
            <w:pPr>
              <w:pStyle w:val="Compact"/>
              <w:jc w:val="left"/>
            </w:pPr>
            <w:r>
              <w:t xml:space="preserve">Details</w:t>
            </w:r>
          </w:p>
        </w:tc>
      </w:tr>
      <w:tr>
        <w:tc>
          <w:tcPr/>
          <w:p>
            <w:pPr>
              <w:pStyle w:val="Compact"/>
              <w:jc w:val="left"/>
            </w:pPr>
            <w:r>
              <w:rPr>
                <w:bCs/>
                <w:b/>
              </w:rPr>
              <w:t xml:space="preserve">Purchase Order Date:</w:t>
            </w:r>
          </w:p>
        </w:tc>
        <w:tc>
          <w:tcPr/>
          <w:p>
            <w:pPr>
              <w:pStyle w:val="Compact"/>
              <w:jc w:val="left"/>
            </w:pPr>
            <w:r>
              <w:t xml:space="preserve">June 12, 2025</w:t>
            </w:r>
          </w:p>
        </w:tc>
        <w:tc>
          <w:tcPr/>
          <w:p>
            <w:pPr>
              <w:pStyle w:val="Compact"/>
              <w:jc w:val="left"/>
            </w:pPr>
            <w:r>
              <w:rPr>
                <w:bCs/>
                <w:b/>
              </w:rPr>
              <w:t xml:space="preserve">Required Start Date:</w:t>
            </w:r>
          </w:p>
        </w:tc>
        <w:tc>
          <w:tcPr/>
          <w:p>
            <w:pPr>
              <w:pStyle w:val="Compact"/>
              <w:jc w:val="left"/>
            </w:pPr>
            <w:r>
              <w:t xml:space="preserve">July 1, 2025</w:t>
            </w:r>
          </w:p>
        </w:tc>
      </w:tr>
      <w:tr>
        <w:tc>
          <w:tcPr/>
          <w:p>
            <w:pPr>
              <w:pStyle w:val="Compact"/>
              <w:jc w:val="left"/>
            </w:pPr>
            <w:r>
              <w:rPr>
                <w:bCs/>
                <w:b/>
              </w:rPr>
              <w:t xml:space="preserve">Payment Terms:</w:t>
            </w:r>
          </w:p>
        </w:tc>
        <w:tc>
          <w:tcPr/>
          <w:p>
            <w:pPr>
              <w:pStyle w:val="Compact"/>
              <w:jc w:val="left"/>
            </w:pPr>
            <w:r>
              <w:t xml:space="preserve">Net 30 days from invoice</w:t>
            </w:r>
          </w:p>
        </w:tc>
        <w:tc>
          <w:tcPr/>
          <w:p>
            <w:pPr>
              <w:pStyle w:val="Compact"/>
              <w:jc w:val="left"/>
            </w:pPr>
            <w:r>
              <w:rPr>
                <w:bCs/>
                <w:b/>
              </w:rPr>
              <w:t xml:space="preserve">Project Duration:</w:t>
            </w:r>
          </w:p>
        </w:tc>
        <w:tc>
          <w:tcPr/>
          <w:p>
            <w:pPr>
              <w:pStyle w:val="Compact"/>
              <w:jc w:val="left"/>
            </w:pPr>
            <w:r>
              <w:t xml:space="preserve">6 months (July 1 – December 31, 2025)</w:t>
            </w:r>
          </w:p>
        </w:tc>
      </w:tr>
      <w:tr>
        <w:tc>
          <w:tcPr/>
          <w:p>
            <w:pPr>
              <w:pStyle w:val="Compact"/>
              <w:jc w:val="left"/>
            </w:pPr>
            <w:r>
              <w:rPr>
                <w:bCs/>
                <w:b/>
              </w:rPr>
              <w:t xml:space="preserve">Currency:</w:t>
            </w:r>
          </w:p>
        </w:tc>
        <w:tc>
          <w:tcPr/>
          <w:p>
            <w:pPr>
              <w:pStyle w:val="Compact"/>
              <w:jc w:val="left"/>
            </w:pPr>
            <w:r>
              <w:t xml:space="preserve">COP (Colombian Peso)</w:t>
            </w:r>
          </w:p>
        </w:tc>
        <w:tc>
          <w:tcPr/>
          <w:p>
            <w:pPr>
              <w:pStyle w:val="Compact"/>
              <w:jc w:val="left"/>
            </w:pPr>
            <w:r>
              <w:rPr>
                <w:bCs/>
                <w:b/>
              </w:rPr>
              <w:t xml:space="preserve">Place of Performance:</w:t>
            </w:r>
          </w:p>
        </w:tc>
        <w:tc>
          <w:tcPr/>
          <w:p>
            <w:pPr>
              <w:pStyle w:val="Compact"/>
              <w:jc w:val="left"/>
            </w:pPr>
            <w:r>
              <w:t xml:space="preserve">Bogotá D.C., Colombia</w:t>
            </w:r>
          </w:p>
        </w:tc>
      </w:tr>
      <w:tr>
        <w:tc>
          <w:tcPr/>
          <w:p>
            <w:pPr>
              <w:pStyle w:val="Compact"/>
              <w:jc w:val="left"/>
            </w:pPr>
            <w:r>
              <w:rPr>
                <w:bCs/>
                <w:b/>
              </w:rPr>
              <w:t xml:space="preserve">PO Validity:</w:t>
            </w:r>
          </w:p>
        </w:tc>
        <w:tc>
          <w:tcPr/>
          <w:p>
            <w:pPr>
              <w:pStyle w:val="Compact"/>
              <w:jc w:val="left"/>
            </w:pPr>
            <w:r>
              <w:t xml:space="preserve">30 calendar days</w:t>
            </w:r>
          </w:p>
        </w:tc>
        <w:tc>
          <w:tcPr/>
          <w:p>
            <w:pPr>
              <w:pStyle w:val="Compact"/>
              <w:jc w:val="left"/>
            </w:pPr>
            <w:r>
              <w:rPr>
                <w:bCs/>
                <w:b/>
              </w:rPr>
              <w:t xml:space="preserve">Contract Reference:</w:t>
            </w:r>
          </w:p>
        </w:tc>
        <w:tc>
          <w:tcPr/>
          <w:p>
            <w:pPr>
              <w:pStyle w:val="Compact"/>
              <w:jc w:val="left"/>
            </w:pPr>
            <w:r>
              <w:t xml:space="preserve">SAP-AND-2025-003</w:t>
            </w:r>
          </w:p>
        </w:tc>
      </w:tr>
    </w:tbl>
    <w:bookmarkStart w:id="22" w:name="X85ea9579347e4144739cde00edf36f97364aa8c"/>
    <w:p>
      <w:pPr>
        <w:pStyle w:val="Heading2"/>
      </w:pPr>
      <w:r>
        <w:t xml:space="preserve">1. Description of Services – Business Consultant Engagement</w:t>
      </w:r>
    </w:p>
    <w:p>
      <w:pPr>
        <w:pStyle w:val="FirstParagraph"/>
      </w:pPr>
      <w:r>
        <w:t xml:space="preserve">This Purchase Order is issued by Andes Corporate Solutions S.A.S. to formally authorize the engagement of a qualified</w:t>
      </w:r>
      <w:r>
        <w:t xml:space="preserve"> </w:t>
      </w:r>
      <w:r>
        <w:rPr>
          <w:bCs/>
          <w:b/>
        </w:rPr>
        <w:t xml:space="preserve">Business Consultant</w:t>
      </w:r>
      <w:r>
        <w:t xml:space="preserve"> </w:t>
      </w:r>
      <w:r>
        <w:t xml:space="preserve">through Strategic Advisory Partners Ltda. The Business Consultant shall provide comprehensive strategic advisory, operational optimization, and organizational development services to be performed in</w:t>
      </w:r>
      <w:r>
        <w:t xml:space="preserve"> </w:t>
      </w:r>
      <w:r>
        <w:rPr>
          <w:bCs/>
          <w:b/>
        </w:rPr>
        <w:t xml:space="preserve">Colombia Bogotá</w:t>
      </w:r>
      <w:r>
        <w:t xml:space="preserve">, specifically at the buyer's headquarters located on Calle 93 No. 15-45, Piso 12, Bogotá D.C. The scope of this Purchase Order encompasses all professional consulting deliverables, on-site visits, remote advisory sessions, and final reporting as detailed in the line items below.</w:t>
      </w:r>
    </w:p>
    <w:bookmarkEnd w:id="22"/>
    <w:bookmarkStart w:id="23" w:name="line-items-business-consultant-services"/>
    <w:p>
      <w:pPr>
        <w:pStyle w:val="Heading2"/>
      </w:pPr>
      <w:r>
        <w:t xml:space="preserve">2. Line Items – Business Consultant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Business Consultant – Strategic Planning &amp; Market Analysis (on-site in Colombia Bogotá, 3 days/week)</w:t>
            </w:r>
          </w:p>
        </w:tc>
        <w:tc>
          <w:tcPr/>
          <w:p>
            <w:pPr>
              <w:pStyle w:val="Compact"/>
              <w:jc w:val="left"/>
            </w:pPr>
            <w:r>
              <w:t xml:space="preserve">26</w:t>
            </w:r>
          </w:p>
        </w:tc>
        <w:tc>
          <w:tcPr/>
          <w:p>
            <w:pPr>
              <w:pStyle w:val="Compact"/>
              <w:jc w:val="left"/>
            </w:pPr>
            <w:r>
              <w:t xml:space="preserve">Weeks</w:t>
            </w:r>
          </w:p>
        </w:tc>
        <w:tc>
          <w:tcPr/>
          <w:p>
            <w:pPr>
              <w:pStyle w:val="Compact"/>
              <w:jc w:val="left"/>
            </w:pPr>
            <w:r>
              <w:t xml:space="preserve">4,500,000</w:t>
            </w:r>
          </w:p>
        </w:tc>
        <w:tc>
          <w:tcPr/>
          <w:p>
            <w:pPr>
              <w:pStyle w:val="Compact"/>
              <w:jc w:val="left"/>
            </w:pPr>
            <w:r>
              <w:t xml:space="preserve">117,000,000</w:t>
            </w:r>
          </w:p>
        </w:tc>
      </w:tr>
      <w:tr>
        <w:tc>
          <w:tcPr/>
          <w:p>
            <w:pPr>
              <w:pStyle w:val="Compact"/>
              <w:jc w:val="left"/>
            </w:pPr>
            <w:r>
              <w:t xml:space="preserve">02</w:t>
            </w:r>
          </w:p>
        </w:tc>
        <w:tc>
          <w:tcPr/>
          <w:p>
            <w:pPr>
              <w:pStyle w:val="Compact"/>
              <w:jc w:val="left"/>
            </w:pPr>
            <w:r>
              <w:t xml:space="preserve">Business Consultant – Operational Process Optimization &amp; Lean Implementation</w:t>
            </w:r>
          </w:p>
        </w:tc>
        <w:tc>
          <w:tcPr/>
          <w:p>
            <w:pPr>
              <w:pStyle w:val="Compact"/>
              <w:jc w:val="left"/>
            </w:pPr>
            <w:r>
              <w:t xml:space="preserve">12</w:t>
            </w:r>
          </w:p>
        </w:tc>
        <w:tc>
          <w:tcPr/>
          <w:p>
            <w:pPr>
              <w:pStyle w:val="Compact"/>
              <w:jc w:val="left"/>
            </w:pPr>
            <w:r>
              <w:t xml:space="preserve">Weeks</w:t>
            </w:r>
          </w:p>
        </w:tc>
        <w:tc>
          <w:tcPr/>
          <w:p>
            <w:pPr>
              <w:pStyle w:val="Compact"/>
              <w:jc w:val="left"/>
            </w:pPr>
            <w:r>
              <w:t xml:space="preserve">5,200,000</w:t>
            </w:r>
          </w:p>
        </w:tc>
        <w:tc>
          <w:tcPr/>
          <w:p>
            <w:pPr>
              <w:pStyle w:val="Compact"/>
              <w:jc w:val="left"/>
            </w:pPr>
            <w:r>
              <w:t xml:space="preserve">62,400,000</w:t>
            </w:r>
          </w:p>
        </w:tc>
      </w:tr>
      <w:tr>
        <w:tc>
          <w:tcPr/>
          <w:p>
            <w:pPr>
              <w:pStyle w:val="Compact"/>
              <w:jc w:val="left"/>
            </w:pPr>
            <w:r>
              <w:t xml:space="preserve">03</w:t>
            </w:r>
          </w:p>
        </w:tc>
        <w:tc>
          <w:tcPr/>
          <w:p>
            <w:pPr>
              <w:pStyle w:val="Compact"/>
              <w:jc w:val="left"/>
            </w:pPr>
            <w:r>
              <w:t xml:space="preserve">Business Consultant – Organizational Development &amp; Leadership Training (Bogotá D.C.)</w:t>
            </w:r>
          </w:p>
        </w:tc>
        <w:tc>
          <w:tcPr/>
          <w:p>
            <w:pPr>
              <w:pStyle w:val="Compact"/>
              <w:jc w:val="left"/>
            </w:pPr>
            <w:r>
              <w:t xml:space="preserve">8</w:t>
            </w:r>
          </w:p>
        </w:tc>
        <w:tc>
          <w:tcPr/>
          <w:p>
            <w:pPr>
              <w:pStyle w:val="Compact"/>
              <w:jc w:val="left"/>
            </w:pPr>
            <w:r>
              <w:t xml:space="preserve">Weeks</w:t>
            </w:r>
          </w:p>
        </w:tc>
        <w:tc>
          <w:tcPr/>
          <w:p>
            <w:pPr>
              <w:pStyle w:val="Compact"/>
              <w:jc w:val="left"/>
            </w:pPr>
            <w:r>
              <w:t xml:space="preserve">3,800,000</w:t>
            </w:r>
          </w:p>
        </w:tc>
        <w:tc>
          <w:tcPr/>
          <w:p>
            <w:pPr>
              <w:pStyle w:val="Compact"/>
              <w:jc w:val="left"/>
            </w:pPr>
            <w:r>
              <w:t xml:space="preserve">30,400,000</w:t>
            </w:r>
          </w:p>
        </w:tc>
      </w:tr>
      <w:tr>
        <w:tc>
          <w:tcPr/>
          <w:p>
            <w:pPr>
              <w:pStyle w:val="Compact"/>
              <w:jc w:val="left"/>
            </w:pPr>
            <w:r>
              <w:t xml:space="preserve">04</w:t>
            </w:r>
          </w:p>
        </w:tc>
        <w:tc>
          <w:tcPr/>
          <w:p>
            <w:pPr>
              <w:pStyle w:val="Compact"/>
              <w:jc w:val="left"/>
            </w:pPr>
            <w:r>
              <w:t xml:space="preserve">Business Consultant – Financial Modeling &amp; Budget Restructuring Advisory</w:t>
            </w:r>
          </w:p>
        </w:tc>
        <w:tc>
          <w:tcPr/>
          <w:p>
            <w:pPr>
              <w:pStyle w:val="Compact"/>
              <w:jc w:val="left"/>
            </w:pPr>
            <w:r>
              <w:t xml:space="preserve">6</w:t>
            </w:r>
          </w:p>
        </w:tc>
        <w:tc>
          <w:tcPr/>
          <w:p>
            <w:pPr>
              <w:pStyle w:val="Compact"/>
              <w:jc w:val="left"/>
            </w:pPr>
            <w:r>
              <w:t xml:space="preserve">Weeks</w:t>
            </w:r>
          </w:p>
        </w:tc>
        <w:tc>
          <w:tcPr/>
          <w:p>
            <w:pPr>
              <w:pStyle w:val="Compact"/>
              <w:jc w:val="left"/>
            </w:pPr>
            <w:r>
              <w:t xml:space="preserve">4,100,000</w:t>
            </w:r>
          </w:p>
        </w:tc>
        <w:tc>
          <w:tcPr/>
          <w:p>
            <w:pPr>
              <w:pStyle w:val="Compact"/>
              <w:jc w:val="left"/>
            </w:pPr>
            <w:r>
              <w:t xml:space="preserve">24,600,000</w:t>
            </w:r>
          </w:p>
        </w:tc>
      </w:tr>
      <w:tr>
        <w:tc>
          <w:tcPr/>
          <w:p>
            <w:pPr>
              <w:pStyle w:val="Compact"/>
              <w:jc w:val="left"/>
            </w:pPr>
            <w:r>
              <w:t xml:space="preserve">05</w:t>
            </w:r>
          </w:p>
        </w:tc>
        <w:tc>
          <w:tcPr/>
          <w:p>
            <w:pPr>
              <w:pStyle w:val="Compact"/>
              <w:jc w:val="left"/>
            </w:pPr>
            <w:r>
              <w:t xml:space="preserve">Business Consultant – Final Comprehensive Report &amp; Executive Presentation (Bogotá)</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06</w:t>
            </w:r>
          </w:p>
        </w:tc>
        <w:tc>
          <w:tcPr/>
          <w:p>
            <w:pPr>
              <w:pStyle w:val="Compact"/>
              <w:jc w:val="left"/>
            </w:pPr>
            <w:r>
              <w:t xml:space="preserve">Business Consultant – Ongoing Advisory Retainer (remote + 1 day/month on-site, Colombia Bogotá)</w:t>
            </w:r>
          </w:p>
        </w:tc>
        <w:tc>
          <w:tcPr/>
          <w:p>
            <w:pPr>
              <w:pStyle w:val="Compact"/>
              <w:jc w:val="left"/>
            </w:pPr>
            <w:r>
              <w:t xml:space="preserve">6</w:t>
            </w:r>
          </w:p>
        </w:tc>
        <w:tc>
          <w:tcPr/>
          <w:p>
            <w:pPr>
              <w:pStyle w:val="Compact"/>
              <w:jc w:val="left"/>
            </w:pPr>
            <w:r>
              <w:t xml:space="preserve">Months</w:t>
            </w:r>
          </w:p>
        </w:tc>
        <w:tc>
          <w:tcPr/>
          <w:p>
            <w:pPr>
              <w:pStyle w:val="Compact"/>
              <w:jc w:val="left"/>
            </w:pPr>
            <w:r>
              <w:t xml:space="preserve">2,500,000</w:t>
            </w:r>
          </w:p>
        </w:tc>
        <w:tc>
          <w:tcPr/>
          <w:p>
            <w:pPr>
              <w:pStyle w:val="Compact"/>
              <w:jc w:val="left"/>
            </w:pPr>
            <w:r>
              <w:t xml:space="preserve">15,000,000</w:t>
            </w:r>
          </w:p>
        </w:tc>
      </w:tr>
    </w:tbl>
    <w:bookmarkEnd w:id="23"/>
    <w:bookmarkStart w:id="24"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(COP)</w:t>
            </w:r>
          </w:p>
        </w:tc>
      </w:tr>
      <w:tr>
        <w:tc>
          <w:tcPr/>
          <w:p>
            <w:pPr>
              <w:pStyle w:val="Compact"/>
              <w:jc w:val="left"/>
            </w:pPr>
            <w:r>
              <w:t xml:space="preserve">Subtotal – All Business Consultant Services</w:t>
            </w:r>
          </w:p>
        </w:tc>
        <w:tc>
          <w:tcPr/>
          <w:p>
            <w:pPr>
              <w:pStyle w:val="Compact"/>
              <w:jc w:val="left"/>
            </w:pPr>
            <w:r>
              <w:t xml:space="preserve">264,400,000</w:t>
            </w:r>
          </w:p>
        </w:tc>
      </w:tr>
      <w:tr>
        <w:tc>
          <w:tcPr/>
          <w:p>
            <w:pPr>
              <w:pStyle w:val="Compact"/>
              <w:jc w:val="left"/>
            </w:pPr>
            <w:r>
              <w:t xml:space="preserve">VAT (IVA) – 19% (Colombian Tax Code, Art. 438)</w:t>
            </w:r>
          </w:p>
        </w:tc>
        <w:tc>
          <w:tcPr/>
          <w:p>
            <w:pPr>
              <w:pStyle w:val="Compact"/>
              <w:jc w:val="left"/>
            </w:pPr>
            <w:r>
              <w:t xml:space="preserve">50,236,000</w:t>
            </w:r>
          </w:p>
        </w:tc>
      </w:tr>
      <w:tr>
        <w:tc>
          <w:tcPr/>
          <w:p>
            <w:pPr>
              <w:pStyle w:val="Compact"/>
              <w:jc w:val="left"/>
            </w:pPr>
            <w:r>
              <w:rPr>
                <w:bCs/>
                <w:b/>
              </w:rPr>
              <w:t xml:space="preserve">TOTAL PURCHASE ORDER AMOUNT</w:t>
            </w:r>
          </w:p>
        </w:tc>
        <w:tc>
          <w:tcPr/>
          <w:p>
            <w:pPr>
              <w:pStyle w:val="Compact"/>
              <w:jc w:val="left"/>
            </w:pPr>
            <w:r>
              <w:rPr>
                <w:bCs/>
                <w:b/>
              </w:rPr>
              <w:t xml:space="preserve">314,636,000</w:t>
            </w:r>
          </w:p>
        </w:tc>
      </w:tr>
    </w:tbl>
    <w:p>
      <w:pPr>
        <w:pStyle w:val="BodyText"/>
      </w:pPr>
      <w:r>
        <w:t xml:space="preserve">All amounts are expressed in Colombian Pesos (COP). The 19% IVA (Impuesto al Valor Agregado) is applied in accordance with the Colombian Tax Statute (Estatuto Tributario). The Business Consultant vendor must issue a formal factura electrónica through the DIAN (Dirección de Impuestos y Aduanas Nacionales) platform for each billing cycle.</w:t>
      </w:r>
    </w:p>
    <w:bookmarkEnd w:id="24"/>
    <w:bookmarkStart w:id="25" w:name="terms-and-conditions"/>
    <w:p>
      <w:pPr>
        <w:pStyle w:val="Heading2"/>
      </w:pPr>
      <w:r>
        <w:t xml:space="preserve">4. Terms and Conditions</w:t>
      </w:r>
    </w:p>
    <w:p>
      <w:pPr>
        <w:pStyle w:val="FirstParagraph"/>
      </w:pPr>
      <w:r>
        <w:t xml:space="preserve">4.1 This Purchase Order constitutes a binding agreement between Andes Corporate Solutions S.A.S. (hereinafter "the Buyer") and Strategic Advisory Partners Ltda. (hereinafter "the Vendor") for the provision of Business Consultant services in Colombia Bogotá. Both parties acknowledge that the Business Consultant named under this Purchase Order shall comply with all applicable Colombian labor, tax, and commercial regulations.</w:t>
      </w:r>
    </w:p>
    <w:p>
      <w:pPr>
        <w:pStyle w:val="BodyText"/>
      </w:pPr>
      <w:r>
        <w:t xml:space="preserve">4.2 The Business Consultant shall maintain professional confidentiality at all times. All data, financial records, strategic plans, and proprietary information accessed during the engagement in Colombia Bogotá shall be treated as strictly confidential and shall not be disclosed to any third party without prior written consent from the Buyer.</w:t>
      </w:r>
    </w:p>
    <w:p>
      <w:pPr>
        <w:pStyle w:val="BodyText"/>
      </w:pPr>
      <w:r>
        <w:t xml:space="preserve">4.3 Payment shall be made via bank transfer (transferencia bancaria) to the account designated by the Vendor. Invoices must be submitted on the last business day of each month for services rendered. The Buyer reserves the right to withhold payment for any deliverable that does not meet the quality standards outlined in the Statement of Work attached to this Purchase Order.</w:t>
      </w:r>
    </w:p>
    <w:p>
      <w:pPr>
        <w:pStyle w:val="BodyText"/>
      </w:pPr>
      <w:r>
        <w:t xml:space="preserve">4.4 The Business Consultant is required to be physically present in Colombia Bogotá a minimum of three (3) days per week for the duration of the on-site phases. Remote work from other locations within Colombia is permissible for the remaining days, provided that all deliverables and communication schedules are met.</w:t>
      </w:r>
    </w:p>
    <w:p>
      <w:pPr>
        <w:pStyle w:val="BodyText"/>
      </w:pPr>
      <w:r>
        <w:t xml:space="preserve">4.5 Any changes to the scope, timeline, or deliverables of this Purchase Order must be documented in a formal Change Order signed by both parties. No additional Business Consultant services shall be performed beyond the scope defined herein without written authorization.</w:t>
      </w:r>
    </w:p>
    <w:p>
      <w:pPr>
        <w:pStyle w:val="BodyText"/>
      </w:pPr>
      <w:r>
        <w:t xml:space="preserve">4.6 This Purchase Order is governed by the commercial laws of the Republic of Colombia. Any disputes arising from this Purchase Order shall be resolved through the commercial courts of Bogotá D.C., Colombia. The parties agree to attempt mediation before initiating any litigation.</w:t>
      </w:r>
    </w:p>
    <w:p>
      <w:pPr>
        <w:pStyle w:val="BodyText"/>
      </w:pPr>
      <w:r>
        <w:t xml:space="preserve">4.7 The Vendor (Business Consultant) warrants that all services rendered shall be performed with professional diligence, in accordance with industry best practices, and in full compliance with the Colombian Code of Commerce and applicable regulations of the Superintendencia de Sociedades.</w:t>
      </w:r>
    </w:p>
    <w:bookmarkEnd w:id="25"/>
    <w:bookmarkStart w:id="26" w:name="acceptance-and-authorization"/>
    <w:p>
      <w:pPr>
        <w:pStyle w:val="Heading2"/>
      </w:pPr>
      <w:r>
        <w:t xml:space="preserve">5. Acceptance and Authorization</w:t>
      </w:r>
    </w:p>
    <w:p>
      <w:pPr>
        <w:pStyle w:val="FirstParagraph"/>
      </w:pPr>
      <w:r>
        <w:t xml:space="preserve">This Purchase Order is valid upon signature by both parties. The Business Consultant engagement shall commence on July 1, 2025, in Colombia Bogotá, and shall conclude on December 31, 2025, unless extended by mutual written agreement.</w:t>
      </w:r>
    </w:p>
    <w:p>
      <w:pPr>
        <w:pStyle w:val="BodyText"/>
      </w:pPr>
      <w:r>
        <w:rPr>
          <w:bCs/>
          <w:b/>
        </w:rPr>
        <w:t xml:space="preserve">For the Buyer – Andes Corporate Solutions S.A.S.</w:t>
      </w:r>
      <w:r>
        <w:br/>
      </w:r>
      <w:r>
        <w:t xml:space="preserve">Name: Laura Martínez Restrepo</w:t>
      </w:r>
      <w:r>
        <w:br/>
      </w:r>
      <w:r>
        <w:t xml:space="preserve">Title: Director of Procurement</w:t>
      </w:r>
      <w:r>
        <w:br/>
      </w:r>
      <w:r>
        <w:t xml:space="preserve">Date: _______________</w:t>
      </w:r>
    </w:p>
    <w:p>
      <w:pPr>
        <w:pStyle w:val="BodyText"/>
      </w:pPr>
      <w:r>
        <w:rPr>
          <w:bCs/>
          <w:b/>
        </w:rPr>
        <w:t xml:space="preserve">For the Vendor – Strategic Advisory Partners Ltda.</w:t>
      </w:r>
      <w:r>
        <w:br/>
      </w:r>
      <w:r>
        <w:t xml:space="preserve">Name: Carlos Andrés Gómez Peña</w:t>
      </w:r>
      <w:r>
        <w:br/>
      </w:r>
      <w:r>
        <w:t xml:space="preserve">Title: Managing Partner / Lead Business Consultant</w:t>
      </w:r>
      <w:r>
        <w:br/>
      </w:r>
      <w:r>
        <w:t xml:space="preserve">Date: _______________</w:t>
      </w:r>
    </w:p>
    <w:p>
      <w:pPr>
        <w:pStyle w:val="BodyText"/>
      </w:pPr>
      <w:r>
        <w:t xml:space="preserve">— End of Purchase Order CB-2025-04871 —</w:t>
      </w:r>
    </w:p>
    <w:p>
      <w:pPr>
        <w:pStyle w:val="BodyText"/>
      </w:pPr>
      <w:r>
        <w:t xml:space="preserve">This document was prepared for the engagement of a Business Consultant in Colombia Bogotá. All references to the Business Consultant, the Purchase Order terms, and the location of Colombia Bogotá are integral to the scope and validity of this agreement.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Colombia Bogotá</dc:title>
  <dc:creator/>
  <dc:language>en</dc:language>
  <cp:keywords/>
  <dcterms:created xsi:type="dcterms:W3CDTF">2026-10-10T07:37:06Z</dcterms:created>
  <dcterms:modified xsi:type="dcterms:W3CDTF">2026-10-10T07:37:06Z</dcterms:modified>
</cp:coreProperties>
</file>

<file path=docProps/custom.xml><?xml version="1.0" encoding="utf-8"?>
<Properties xmlns="http://schemas.openxmlformats.org/officeDocument/2006/custom-properties" xmlns:vt="http://schemas.openxmlformats.org/officeDocument/2006/docPropsVTypes"/>
</file>