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rPr>
          <w:bCs/>
          <w:b/>
        </w:rPr>
        <w:t xml:space="preserve">Nile Delta Enterprise Solutions S.A.E.</w:t>
      </w:r>
    </w:p>
    <w:p>
      <w:pPr>
        <w:pStyle w:val="BodyText"/>
      </w:pPr>
      <w:r>
        <w:t xml:space="preserve">12 Tahrir Square, Downtown District, Egypt Cairo, 11511, Arab Republic of Egypt</w:t>
      </w:r>
    </w:p>
    <w:p>
      <w:pPr>
        <w:pStyle w:val="BodyText"/>
      </w:pPr>
      <w:r>
        <w:t xml:space="preserve">Tel: +20 2 2578 4433 | Email: procurement@niledelta-egypt.com | Tax ID (VAT): EG-118-442-779</w:t>
      </w:r>
    </w:p>
    <w:p>
      <w:pPr>
        <w:pStyle w:val="BodyText"/>
      </w:pPr>
      <w:r>
        <w:rPr>
          <w:bCs/>
          <w:b/>
        </w:rPr>
        <w:t xml:space="preserve">Purchase Order No.:</w:t>
      </w:r>
      <w:r>
        <w:t xml:space="preserve"> </w:t>
      </w:r>
      <w:r>
        <w:t xml:space="preserve">PO-2025-EC-0047  | </w:t>
      </w:r>
      <w:r>
        <w:t xml:space="preserve"> </w:t>
      </w:r>
      <w:r>
        <w:rPr>
          <w:bCs/>
          <w:b/>
        </w:rPr>
        <w:t xml:space="preserve">Date of Issue:</w:t>
      </w:r>
      <w:r>
        <w:t xml:space="preserve"> </w:t>
      </w:r>
      <w:r>
        <w:t xml:space="preserve">14 June 2025  | </w:t>
      </w:r>
      <w:r>
        <w:t xml:space="preserve"> </w:t>
      </w:r>
      <w:r>
        <w:rPr>
          <w:bCs/>
          <w:b/>
        </w:rPr>
        <w:t xml:space="preserve">Valid Until:</w:t>
      </w:r>
      <w:r>
        <w:t xml:space="preserve"> </w:t>
      </w:r>
      <w:r>
        <w:t xml:space="preserve">14 July 2025</w:t>
      </w:r>
    </w:p>
    <w:bookmarkEnd w:id="20"/>
    <w:bookmarkStart w:id="21" w:name="vendor-service-provider-information"/>
    <w:p>
      <w:pPr>
        <w:pStyle w:val="Heading2"/>
      </w:pPr>
      <w:r>
        <w:t xml:space="preserve">1. Vendor / Service Provider Information</w:t>
      </w:r>
    </w:p>
    <w:p>
      <w:pPr>
        <w:pStyle w:val="FirstParagraph"/>
      </w:pPr>
      <w:r>
        <w:rPr>
          <w:bCs/>
          <w:b/>
        </w:rPr>
        <w:t xml:space="preserve">Vendor Name:</w:t>
      </w:r>
      <w:r>
        <w:t xml:space="preserve"> </w:t>
      </w:r>
      <w:r>
        <w:t xml:space="preserve">Al-Ahram Strategic Advisory &amp; Consulting LLC</w:t>
      </w:r>
    </w:p>
    <w:p>
      <w:pPr>
        <w:pStyle w:val="BodyText"/>
      </w:pPr>
      <w:r>
        <w:rPr>
          <w:bCs/>
          <w:b/>
        </w:rPr>
        <w:t xml:space="preserve">Address:</w:t>
      </w:r>
      <w:r>
        <w:t xml:space="preserve"> </w:t>
      </w:r>
      <w:r>
        <w:t xml:space="preserve">45 Corniche El Nil, Zamalek, Egypt Cairo, 11211</w:t>
      </w:r>
    </w:p>
    <w:p>
      <w:pPr>
        <w:pStyle w:val="BodyText"/>
      </w:pPr>
      <w:r>
        <w:rPr>
          <w:bCs/>
          <w:b/>
        </w:rPr>
        <w:t xml:space="preserve">Contact Person:</w:t>
      </w:r>
      <w:r>
        <w:t xml:space="preserve"> </w:t>
      </w:r>
      <w:r>
        <w:t xml:space="preserve">Dr. Mahmoud El-Sayed, Senior Business Consultant</w:t>
      </w:r>
    </w:p>
    <w:p>
      <w:pPr>
        <w:pStyle w:val="BodyText"/>
      </w:pPr>
      <w:r>
        <w:rPr>
          <w:bCs/>
          <w:b/>
        </w:rPr>
        <w:t xml:space="preserve">Email:</w:t>
      </w:r>
      <w:r>
        <w:t xml:space="preserve"> </w:t>
      </w:r>
      <w:r>
        <w:t xml:space="preserve">m.elsayed@alahrams-advisory.com</w:t>
      </w:r>
    </w:p>
    <w:p>
      <w:pPr>
        <w:pStyle w:val="BodyText"/>
      </w:pPr>
      <w:r>
        <w:rPr>
          <w:bCs/>
          <w:b/>
        </w:rPr>
        <w:t xml:space="preserve">Phone:</w:t>
      </w:r>
      <w:r>
        <w:t xml:space="preserve"> </w:t>
      </w:r>
      <w:r>
        <w:t xml:space="preserve">+20 100 556 7789</w:t>
      </w:r>
    </w:p>
    <w:p>
      <w:pPr>
        <w:pStyle w:val="BodyText"/>
      </w:pPr>
      <w:r>
        <w:rPr>
          <w:bCs/>
          <w:b/>
        </w:rPr>
        <w:t xml:space="preserve">VAT Registration No.:</w:t>
      </w:r>
      <w:r>
        <w:t xml:space="preserve"> </w:t>
      </w:r>
      <w:r>
        <w:t xml:space="preserve">EG-204-881-335</w:t>
      </w:r>
    </w:p>
    <w:p>
      <w:pPr>
        <w:pStyle w:val="BodyText"/>
      </w:pPr>
      <w:r>
        <w:rPr>
          <w:bCs/>
          <w:b/>
        </w:rPr>
        <w:t xml:space="preserve">Bill To:</w:t>
      </w:r>
      <w:r>
        <w:t xml:space="preserve"> </w:t>
      </w:r>
      <w:r>
        <w:t xml:space="preserve">Nile Delta Enterprise Solutions S.A.E.</w:t>
      </w:r>
    </w:p>
    <w:p>
      <w:pPr>
        <w:pStyle w:val="BodyText"/>
      </w:pPr>
      <w:r>
        <w:rPr>
          <w:bCs/>
          <w:b/>
        </w:rPr>
        <w:t xml:space="preserve">Attn:</w:t>
      </w:r>
      <w:r>
        <w:t xml:space="preserve"> </w:t>
      </w:r>
      <w:r>
        <w:t xml:space="preserve">Mr. Khaled Farouk, Head of Procurement</w:t>
      </w:r>
    </w:p>
    <w:p>
      <w:pPr>
        <w:pStyle w:val="BodyText"/>
      </w:pPr>
      <w:r>
        <w:rPr>
          <w:bCs/>
          <w:b/>
        </w:rPr>
        <w:t xml:space="preserve">Address:</w:t>
      </w:r>
      <w:r>
        <w:t xml:space="preserve"> </w:t>
      </w:r>
      <w:r>
        <w:t xml:space="preserve">12 Tahrir Square, Downtown, Egypt Cairo, 11511</w:t>
      </w:r>
    </w:p>
    <w:p>
      <w:pPr>
        <w:pStyle w:val="BodyText"/>
      </w:pPr>
      <w:r>
        <w:rPr>
          <w:bCs/>
          <w:b/>
        </w:rPr>
        <w:t xml:space="preserve">Payment Terms:</w:t>
      </w:r>
      <w:r>
        <w:t xml:space="preserve"> </w:t>
      </w:r>
      <w:r>
        <w:t xml:space="preserve">Net 30 days from invoice date</w:t>
      </w:r>
    </w:p>
    <w:p>
      <w:pPr>
        <w:pStyle w:val="BodyText"/>
      </w:pPr>
      <w:r>
        <w:rPr>
          <w:bCs/>
          <w:b/>
        </w:rPr>
        <w:t xml:space="preserve">Bank:</w:t>
      </w:r>
      <w:r>
        <w:t xml:space="preserve"> </w:t>
      </w:r>
      <w:r>
        <w:t xml:space="preserve">National Bank of Egypt, Cairo Main Branch</w:t>
      </w:r>
    </w:p>
    <w:p>
      <w:pPr>
        <w:pStyle w:val="BodyText"/>
      </w:pPr>
      <w:r>
        <w:rPr>
          <w:bCs/>
          <w:b/>
        </w:rPr>
        <w:t xml:space="preserve">IBAN:</w:t>
      </w:r>
      <w:r>
        <w:t xml:space="preserve"> </w:t>
      </w:r>
      <w:r>
        <w:t xml:space="preserve">EG38 NBEK 0000 1099 4422 7788 11</w:t>
      </w:r>
    </w:p>
    <w:bookmarkEnd w:id="21"/>
    <w:bookmarkStart w:id="22" w:name="X38c04614c6852dc42671939c78d168ce144be86"/>
    <w:p>
      <w:pPr>
        <w:pStyle w:val="Heading2"/>
      </w:pPr>
      <w:r>
        <w:t xml:space="preserve">2. Scope of Services – Business Consultant Engagement</w:t>
      </w:r>
    </w:p>
    <w:p>
      <w:pPr>
        <w:pStyle w:val="FirstParagraph"/>
      </w:pPr>
      <w:r>
        <w:t xml:space="preserve">This Purchase Order is issued by Nile Delta Enterprise Solutions S.A.E., headquartered in Egypt Cairo, to formally authorize and request the engagement of a qualified</w:t>
      </w:r>
      <w:r>
        <w:t xml:space="preserve"> </w:t>
      </w:r>
      <w:r>
        <w:rPr>
          <w:bCs/>
          <w:b/>
        </w:rPr>
        <w:t xml:space="preserve">Business Consultant</w:t>
      </w:r>
      <w:r>
        <w:t xml:space="preserve"> </w:t>
      </w:r>
      <w:r>
        <w:t xml:space="preserve">to deliver strategic advisory services as detailed below. The Business Consultant shall operate primarily from the Egypt Cairo office premises and shall comply with all applicable regulations of the Egyptian Ministry of Trade and Industry and the Egyptian Financial Regulatory Authority (FRA) where relevant to the scope of work.</w:t>
      </w:r>
    </w:p>
    <w:bookmarkEnd w:id="22"/>
    <w:bookmarkStart w:id="23" w:name="line-items-services-and-charges"/>
    <w:p>
      <w:pPr>
        <w:pStyle w:val="Heading2"/>
      </w:pPr>
      <w:r>
        <w:t xml:space="preserve">3. Line Items – Services and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 / Duration</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Strategic Business Planning &amp; Market Entry Analysis for the Egypt Cairo metropolitan region, including competitive landscape assessment and SWOT analysis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t xml:space="preserve">Operational Process Optimization &amp; Lean Management Consulting for manufacturing division located in 10th of Ramadan Industrial Zone, Egypt Cairo Governorate</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2,500.00</w:t>
            </w:r>
          </w:p>
        </w:tc>
        <w:tc>
          <w:tcPr/>
          <w:p>
            <w:pPr>
              <w:pStyle w:val="Compact"/>
              <w:jc w:val="left"/>
            </w:pPr>
            <w:r>
              <w:t xml:space="preserve">150,000.00</w:t>
            </w:r>
          </w:p>
        </w:tc>
      </w:tr>
      <w:tr>
        <w:tc>
          <w:tcPr/>
          <w:p>
            <w:pPr>
              <w:pStyle w:val="Compact"/>
              <w:jc w:val="left"/>
            </w:pPr>
            <w:r>
              <w:t xml:space="preserve">3</w:t>
            </w:r>
          </w:p>
        </w:tc>
        <w:tc>
          <w:tcPr/>
          <w:p>
            <w:pPr>
              <w:pStyle w:val="Compact"/>
              <w:jc w:val="left"/>
            </w:pPr>
            <w:r>
              <w:t xml:space="preserve">Financial Modeling, Cash Flow Forecasting &amp; Investment Feasibility Study for proposed expansion project in New Administrative Capital, Egypt Cairo</w:t>
            </w:r>
          </w:p>
        </w:tc>
        <w:tc>
          <w:tcPr/>
          <w:p>
            <w:pPr>
              <w:pStyle w:val="Compact"/>
              <w:jc w:val="left"/>
            </w:pPr>
            <w:r>
              <w:t xml:space="preserve">30</w:t>
            </w:r>
          </w:p>
        </w:tc>
        <w:tc>
          <w:tcPr/>
          <w:p>
            <w:pPr>
              <w:pStyle w:val="Compact"/>
              <w:jc w:val="left"/>
            </w:pPr>
            <w:r>
              <w:t xml:space="preserve">Hours</w:t>
            </w:r>
          </w:p>
        </w:tc>
        <w:tc>
          <w:tcPr/>
          <w:p>
            <w:pPr>
              <w:pStyle w:val="Compact"/>
              <w:jc w:val="left"/>
            </w:pPr>
            <w:r>
              <w:t xml:space="preserve">3,000.00</w:t>
            </w:r>
          </w:p>
        </w:tc>
        <w:tc>
          <w:tcPr/>
          <w:p>
            <w:pPr>
              <w:pStyle w:val="Compact"/>
              <w:jc w:val="left"/>
            </w:pPr>
            <w:r>
              <w:t xml:space="preserve">90,000.00</w:t>
            </w:r>
          </w:p>
        </w:tc>
      </w:tr>
      <w:tr>
        <w:tc>
          <w:tcPr/>
          <w:p>
            <w:pPr>
              <w:pStyle w:val="Compact"/>
              <w:jc w:val="left"/>
            </w:pPr>
            <w:r>
              <w:t xml:space="preserve">4</w:t>
            </w:r>
          </w:p>
        </w:tc>
        <w:tc>
          <w:tcPr/>
          <w:p>
            <w:pPr>
              <w:pStyle w:val="Compact"/>
              <w:jc w:val="left"/>
            </w:pPr>
            <w:r>
              <w:t xml:space="preserve">Human Capital Development &amp; Organizational Restructuring Advisory (Business Consultant on-site engagement, Egypt Cairo HQ)</w:t>
            </w:r>
          </w:p>
        </w:tc>
        <w:tc>
          <w:tcPr/>
          <w:p>
            <w:pPr>
              <w:pStyle w:val="Compact"/>
              <w:jc w:val="left"/>
            </w:pPr>
            <w:r>
              <w:t xml:space="preserve">25</w:t>
            </w:r>
          </w:p>
        </w:tc>
        <w:tc>
          <w:tcPr/>
          <w:p>
            <w:pPr>
              <w:pStyle w:val="Compact"/>
              <w:jc w:val="left"/>
            </w:pPr>
            <w:r>
              <w:t xml:space="preserve">Hours</w:t>
            </w:r>
          </w:p>
        </w:tc>
        <w:tc>
          <w:tcPr/>
          <w:p>
            <w:pPr>
              <w:pStyle w:val="Compact"/>
              <w:jc w:val="left"/>
            </w:pPr>
            <w:r>
              <w:t xml:space="preserve">2,500.00</w:t>
            </w:r>
          </w:p>
        </w:tc>
        <w:tc>
          <w:tcPr/>
          <w:p>
            <w:pPr>
              <w:pStyle w:val="Compact"/>
              <w:jc w:val="left"/>
            </w:pPr>
            <w:r>
              <w:t xml:space="preserve">62,500.00</w:t>
            </w:r>
          </w:p>
        </w:tc>
      </w:tr>
      <w:tr>
        <w:tc>
          <w:tcPr/>
          <w:p>
            <w:pPr>
              <w:pStyle w:val="Compact"/>
              <w:jc w:val="left"/>
            </w:pPr>
            <w:r>
              <w:t xml:space="preserve">5</w:t>
            </w:r>
          </w:p>
        </w:tc>
        <w:tc>
          <w:tcPr/>
          <w:p>
            <w:pPr>
              <w:pStyle w:val="Compact"/>
              <w:jc w:val="left"/>
            </w:pPr>
            <w:r>
              <w:t xml:space="preserve">Regulatory Compliance Review &amp; Egyptian Commercial Law Advisory (Egypt Cairo jurisdiction)</w:t>
            </w:r>
          </w:p>
        </w:tc>
        <w:tc>
          <w:tcPr/>
          <w:p>
            <w:pPr>
              <w:pStyle w:val="Compact"/>
              <w:jc w:val="left"/>
            </w:pPr>
            <w:r>
              <w:t xml:space="preserve">20</w:t>
            </w:r>
          </w:p>
        </w:tc>
        <w:tc>
          <w:tcPr/>
          <w:p>
            <w:pPr>
              <w:pStyle w:val="Compact"/>
              <w:jc w:val="left"/>
            </w:pPr>
            <w:r>
              <w:t xml:space="preserve">Hours</w:t>
            </w:r>
          </w:p>
        </w:tc>
        <w:tc>
          <w:tcPr/>
          <w:p>
            <w:pPr>
              <w:pStyle w:val="Compact"/>
              <w:jc w:val="left"/>
            </w:pPr>
            <w:r>
              <w:t xml:space="preserve">2,800.00</w:t>
            </w:r>
          </w:p>
        </w:tc>
        <w:tc>
          <w:tcPr/>
          <w:p>
            <w:pPr>
              <w:pStyle w:val="Compact"/>
              <w:jc w:val="left"/>
            </w:pPr>
            <w:r>
              <w:t xml:space="preserve">56,000.00</w:t>
            </w:r>
          </w:p>
        </w:tc>
      </w:tr>
      <w:tr>
        <w:tc>
          <w:tcPr/>
          <w:p>
            <w:pPr>
              <w:pStyle w:val="Compact"/>
              <w:jc w:val="left"/>
            </w:pPr>
            <w:r>
              <w:t xml:space="preserve">6</w:t>
            </w:r>
          </w:p>
        </w:tc>
        <w:tc>
          <w:tcPr/>
          <w:p>
            <w:pPr>
              <w:pStyle w:val="Compact"/>
              <w:jc w:val="left"/>
            </w:pPr>
            <w:r>
              <w:t xml:space="preserve">Monthly Progress Reporting, Stakeholder Presentations &amp; Final Deliverable Compilation (Egypt Cairo office)</w:t>
            </w:r>
          </w:p>
        </w:tc>
        <w:tc>
          <w:tcPr/>
          <w:p>
            <w:pPr>
              <w:pStyle w:val="Compact"/>
              <w:jc w:val="left"/>
            </w:pPr>
            <w:r>
              <w:t xml:space="preserve">4</w:t>
            </w:r>
          </w:p>
        </w:tc>
        <w:tc>
          <w:tcPr/>
          <w:p>
            <w:pPr>
              <w:pStyle w:val="Compact"/>
              <w:jc w:val="left"/>
            </w:pPr>
            <w:r>
              <w:t xml:space="preserve">Months</w:t>
            </w:r>
          </w:p>
        </w:tc>
        <w:tc>
          <w:tcPr/>
          <w:p>
            <w:pPr>
              <w:pStyle w:val="Compact"/>
              <w:jc w:val="left"/>
            </w:pPr>
            <w:r>
              <w:t xml:space="preserve">15,000.00</w:t>
            </w:r>
          </w:p>
        </w:tc>
        <w:tc>
          <w:tcPr/>
          <w:p>
            <w:pPr>
              <w:pStyle w:val="Compact"/>
              <w:jc w:val="left"/>
            </w:pPr>
            <w:r>
              <w:t xml:space="preserve">60,000.00</w:t>
            </w:r>
          </w:p>
        </w:tc>
      </w:tr>
      <w:tr>
        <w:tc>
          <w:tcPr>
            <w:gridSpan w:val="5"/>
          </w:tcPr>
          <w:p>
            <w:pPr>
              <w:pStyle w:val="Compact"/>
              <w:jc w:val="right"/>
            </w:pPr>
            <w:r>
              <w:t xml:space="preserve">Subtotal (EGP):</w:t>
            </w:r>
          </w:p>
        </w:tc>
        <w:tc>
          <w:tcPr/>
          <w:p>
            <w:pPr>
              <w:pStyle w:val="Compact"/>
              <w:jc w:val="left"/>
            </w:pPr>
            <w:r>
              <w:t xml:space="preserve">518,500.00</w:t>
            </w:r>
          </w:p>
        </w:tc>
      </w:tr>
      <w:tr>
        <w:tc>
          <w:tcPr>
            <w:gridSpan w:val="5"/>
          </w:tcPr>
          <w:p>
            <w:pPr>
              <w:pStyle w:val="Compact"/>
              <w:jc w:val="right"/>
            </w:pPr>
            <w:r>
              <w:t xml:space="preserve">VAT @ 14% (Egyptian Value Added Tax):</w:t>
            </w:r>
          </w:p>
        </w:tc>
        <w:tc>
          <w:tcPr/>
          <w:p>
            <w:pPr>
              <w:pStyle w:val="Compact"/>
              <w:jc w:val="left"/>
            </w:pPr>
            <w:r>
              <w:t xml:space="preserve">72,590.00</w:t>
            </w:r>
          </w:p>
        </w:tc>
      </w:tr>
      <w:tr>
        <w:tc>
          <w:tcPr>
            <w:gridSpan w:val="5"/>
          </w:tcPr>
          <w:p>
            <w:pPr>
              <w:pStyle w:val="Compact"/>
              <w:jc w:val="right"/>
            </w:pPr>
            <w:r>
              <w:t xml:space="preserve">GRAND TOTAL (EGP):</w:t>
            </w:r>
          </w:p>
        </w:tc>
        <w:tc>
          <w:tcPr/>
          <w:p>
            <w:pPr>
              <w:pStyle w:val="Compact"/>
              <w:jc w:val="left"/>
            </w:pPr>
            <w:r>
              <w:t xml:space="preserve">591,090.00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constitutes a binding request for services. The Business Consultant (Al-Ahram Strategic Advisory &amp; Consulting LLC) shall confirm acceptance in writing within five (5) business days of receipt of this Purchase Order. Failure to confirm within this period shall render this Purchase Order null and void.</w:t>
      </w:r>
    </w:p>
    <w:p>
      <w:pPr>
        <w:numPr>
          <w:ilvl w:val="0"/>
          <w:numId w:val="1001"/>
        </w:numPr>
        <w:pStyle w:val="Compact"/>
      </w:pPr>
      <w:r>
        <w:rPr>
          <w:bCs/>
          <w:b/>
        </w:rPr>
        <w:t xml:space="preserve">Performance Period:</w:t>
      </w:r>
      <w:r>
        <w:t xml:space="preserve"> </w:t>
      </w:r>
      <w:r>
        <w:t xml:space="preserve">The Business Consultant shall commence services no later than 1 July 2025 and shall complete all deliverables by 30 October 2025. All on-site work shall be conducted at the Egypt Cairo headquarters unless otherwise agreed in writing.</w:t>
      </w:r>
    </w:p>
    <w:p>
      <w:pPr>
        <w:numPr>
          <w:ilvl w:val="0"/>
          <w:numId w:val="1001"/>
        </w:numPr>
        <w:pStyle w:val="Compact"/>
      </w:pPr>
      <w:r>
        <w:rPr>
          <w:bCs/>
          <w:b/>
        </w:rPr>
        <w:t xml:space="preserve">Payment:</w:t>
      </w:r>
      <w:r>
        <w:t xml:space="preserve"> </w:t>
      </w:r>
      <w:r>
        <w:t xml:space="preserve">Payment shall be made in Egyptian Pounds (EGP) via bank transfer to the account specified above. Invoices shall be submitted monthly. Payment is due within thirty (30) calendar days from the date of a valid invoice. Late payments shall accrue interest at the Central Bank of Egypt base rate plus 2% per annum.</w:t>
      </w:r>
    </w:p>
    <w:p>
      <w:pPr>
        <w:numPr>
          <w:ilvl w:val="0"/>
          <w:numId w:val="1001"/>
        </w:numPr>
        <w:pStyle w:val="Compact"/>
      </w:pPr>
      <w:r>
        <w:rPr>
          <w:bCs/>
          <w:b/>
        </w:rPr>
        <w:t xml:space="preserve">Deliverables:</w:t>
      </w:r>
      <w:r>
        <w:t xml:space="preserve"> </w:t>
      </w:r>
      <w:r>
        <w:t xml:space="preserve">The Business Consultant shall provide all reports, analyses, and recommendations in both Arabic and English. All final deliverables must be submitted to the Egypt Cairo procurement office in both hard copy (three copies) and electronic format (PDF and editable source files).</w:t>
      </w:r>
    </w:p>
    <w:p>
      <w:pPr>
        <w:numPr>
          <w:ilvl w:val="0"/>
          <w:numId w:val="1001"/>
        </w:numPr>
        <w:pStyle w:val="Compact"/>
      </w:pPr>
      <w:r>
        <w:rPr>
          <w:bCs/>
          <w:b/>
        </w:rPr>
        <w:t xml:space="preserve">Confidentiality:</w:t>
      </w:r>
      <w:r>
        <w:t xml:space="preserve"> </w:t>
      </w:r>
      <w:r>
        <w:t xml:space="preserve">The Business Consultant agrees to maintain strict confidentiality of all proprietary information, trade secrets, and financial data of Nile Delta Enterprise Solutions S.A.E. This obligation shall survive the termination of this Purchase Order for a period of three (3) years.</w:t>
      </w:r>
    </w:p>
    <w:p>
      <w:pPr>
        <w:numPr>
          <w:ilvl w:val="0"/>
          <w:numId w:val="1001"/>
        </w:numPr>
        <w:pStyle w:val="Compact"/>
      </w:pPr>
      <w:r>
        <w:rPr>
          <w:bCs/>
          <w:b/>
        </w:rPr>
        <w:t xml:space="preserve">Compliance with Egyptian Law:</w:t>
      </w:r>
      <w:r>
        <w:t xml:space="preserve"> </w:t>
      </w:r>
      <w:r>
        <w:t xml:space="preserve">All services rendered under this Purchase Order shall comply with the laws of the Arab Republic of Egypt, including but not limited to the Egyptian Civil Code, the Egyptian Commercial Code, and applicable regulations of the Egyptian Competition Authority. The Business Consultant shall hold a valid professional license to practice consulting in Egypt Cairo and the wider Egyptian jurisdiction.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Business Consultant shall be compensated for all services rendered up to the termination date, less any applicable deductions.</w:t>
      </w:r>
    </w:p>
    <w:p>
      <w:pPr>
        <w:numPr>
          <w:ilvl w:val="0"/>
          <w:numId w:val="1001"/>
        </w:numPr>
        <w:pStyle w:val="Compact"/>
      </w:pPr>
      <w:r>
        <w:rPr>
          <w:bCs/>
          <w:b/>
        </w:rPr>
        <w:t xml:space="preserve">Dispute Resolution:</w:t>
      </w:r>
      <w:r>
        <w:t xml:space="preserve"> </w:t>
      </w:r>
      <w:r>
        <w:t xml:space="preserve">Any dispute arising from this Purchase Order shall first be subject to amicable negotiation. If unresolved within thirty (30) days, the matter shall be referred to arbitration in accordance with the rules of the Egyptian Arbitration Center, with the seat of arbitration in Egypt Cairo. The governing law shall be the laws of the Arab Republic of Egypt.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in Egypt Cairo, or pandemics, provided that written notice is given within seven (7) days of the event.</w:t>
      </w:r>
    </w:p>
    <w:p>
      <w:pPr>
        <w:numPr>
          <w:ilvl w:val="0"/>
          <w:numId w:val="1001"/>
        </w:numPr>
        <w:pStyle w:val="Compact"/>
      </w:pPr>
      <w:r>
        <w:rPr>
          <w:bCs/>
          <w:b/>
        </w:rPr>
        <w:t xml:space="preserve">Intellectual Property:</w:t>
      </w:r>
      <w:r>
        <w:t xml:space="preserve"> </w:t>
      </w:r>
      <w:r>
        <w:t xml:space="preserve">All work product, reports, models, and recommendations created specifically for Nile Delta Enterprise Solutions S.A.E. under this Purchase Order shall be the exclusive property of the client upon full payment. The Business Consultant retains the right to use general methodologies and frameworks not specific to the client.</w:t>
      </w:r>
    </w:p>
    <w:bookmarkEnd w:id="24"/>
    <w:bookmarkStart w:id="25" w:name="authorized-signatures"/>
    <w:p>
      <w:pPr>
        <w:pStyle w:val="Heading2"/>
      </w:pPr>
      <w:r>
        <w:t xml:space="preserve">5. Authorized Signatures</w:t>
      </w:r>
    </w:p>
    <w:p>
      <w:pPr>
        <w:pStyle w:val="FirstParagraph"/>
      </w:pPr>
      <w:r>
        <w:rPr>
          <w:bCs/>
          <w:b/>
        </w:rPr>
        <w:t xml:space="preserve">For Nile Delta Enterprise Solutions S.A.E. (Buyer)</w:t>
      </w:r>
      <w:r>
        <w:br/>
      </w:r>
      <w:r>
        <w:t xml:space="preserve">Name: Khaled Farouk</w:t>
      </w:r>
      <w:r>
        <w:br/>
      </w:r>
      <w:r>
        <w:t xml:space="preserve">Title: Head of Procurement, Egypt Cairo</w:t>
      </w:r>
      <w:r>
        <w:br/>
      </w:r>
      <w:r>
        <w:t xml:space="preserve">Date: _______________</w:t>
      </w:r>
    </w:p>
    <w:p>
      <w:pPr>
        <w:pStyle w:val="BodyText"/>
      </w:pPr>
      <w:r>
        <w:rPr>
          <w:bCs/>
          <w:b/>
        </w:rPr>
        <w:t xml:space="preserve">For Al-Ahram Strategic Advisory &amp; Consulting LLC (Business Consultant / Vendor)</w:t>
      </w:r>
      <w:r>
        <w:br/>
      </w:r>
      <w:r>
        <w:t xml:space="preserve">Name: Dr. Mahmoud El-Sayed</w:t>
      </w:r>
      <w:r>
        <w:br/>
      </w:r>
      <w:r>
        <w:t xml:space="preserve">Title: Managing Partner &amp; Lead Business Consultant</w:t>
      </w:r>
      <w:r>
        <w:br/>
      </w:r>
      <w:r>
        <w:t xml:space="preserve">Date: _______________</w:t>
      </w:r>
    </w:p>
    <w:bookmarkEnd w:id="25"/>
    <w:bookmarkStart w:id="26" w:name="notes-and-remarks"/>
    <w:p>
      <w:pPr>
        <w:pStyle w:val="Heading2"/>
      </w:pPr>
      <w:r>
        <w:t xml:space="preserve">6. Notes and Remarks</w:t>
      </w:r>
    </w:p>
    <w:p>
      <w:pPr>
        <w:pStyle w:val="FirstParagraph"/>
      </w:pPr>
      <w:r>
        <w:t xml:space="preserve">This Purchase Order is issued in accordance with the internal procurement policies of Nile Delta Enterprise Solutions S.A.E. and the applicable Egyptian public and private sector procurement regulations. The Business Consultant is expected to maintain a minimum of 80% on-site presence at the Egypt Cairo office during the engagement period. Travel expenses within the Egypt Cairo metropolitan area are included in the unit prices above; any travel outside Egypt Cairo Governorate shall require prior written approval and shall be billed separately at cost. All communications regarding this Purchase Order shall be directed to the procurement department at the Egypt Cairo headquarters. This document is valid only when signed and stamped by both parties. Reference: Internal Approval Ref. NDE-APR-2025-0312.</w:t>
      </w:r>
    </w:p>
    <w:bookmarkEnd w:id="26"/>
    <w:p>
      <w:pPr>
        <w:pStyle w:val="BodyText"/>
      </w:pPr>
      <w:r>
        <w:t xml:space="preserve">Purchase Order PO-2025-EC-0047 | Nile Delta Enterprise Solutions S.A.E. | Egypt Cairo, Arab Republic of Egypt</w:t>
      </w:r>
    </w:p>
    <w:p>
      <w:pPr>
        <w:pStyle w:val="BodyText"/>
      </w:pPr>
      <w:r>
        <w:t xml:space="preserve">Page 1 of 1 | Generated: 14 June 2025 | This is a system-generated document.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Egypt Cairo</dc:title>
  <dc:creator/>
  <dc:language>en</dc:language>
  <cp:keywords/>
  <dcterms:created xsi:type="dcterms:W3CDTF">2026-10-10T04:25:23Z</dcterms:created>
  <dcterms:modified xsi:type="dcterms:W3CDTF">2026-10-10T04:25:23Z</dcterms:modified>
</cp:coreProperties>
</file>

<file path=docProps/custom.xml><?xml version="1.0" encoding="utf-8"?>
<Properties xmlns="http://schemas.openxmlformats.org/officeDocument/2006/custom-properties" xmlns:vt="http://schemas.openxmlformats.org/officeDocument/2006/docPropsVTypes"/>
</file>